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43"/>
        <w:gridCol w:w="9443"/>
      </w:tblGrid>
      <w:tr w:rsidR="00932A9A" w:rsidRPr="00801FF1" w:rsidTr="00801FF1">
        <w:trPr>
          <w:tblCellSpacing w:w="15" w:type="dxa"/>
        </w:trPr>
        <w:tc>
          <w:tcPr>
            <w:tcW w:w="476" w:type="pct"/>
            <w:shd w:val="clear" w:color="auto" w:fill="A41E1C"/>
            <w:vAlign w:val="center"/>
          </w:tcPr>
          <w:p w:rsidR="00932A9A" w:rsidRPr="00801FF1" w:rsidRDefault="00E72AD7" w:rsidP="00D8523F">
            <w:pPr>
              <w:pStyle w:val="NASLOVZLATO"/>
              <w:spacing w:after="120"/>
              <w:contextualSpacing w:val="0"/>
              <w:rPr>
                <w:sz w:val="18"/>
                <w:szCs w:val="18"/>
              </w:rPr>
            </w:pPr>
            <w:r w:rsidRPr="00801FF1">
              <w:rPr>
                <w:sz w:val="18"/>
                <w:szCs w:val="18"/>
              </w:rPr>
              <w:drawing>
                <wp:inline distT="0" distB="0" distL="0" distR="0" wp14:anchorId="75128A24" wp14:editId="634A6ACE">
                  <wp:extent cx="526415" cy="560705"/>
                  <wp:effectExtent l="0" t="0" r="6985" b="0"/>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415" cy="560705"/>
                          </a:xfrm>
                          <a:prstGeom prst="rect">
                            <a:avLst/>
                          </a:prstGeom>
                          <a:noFill/>
                          <a:ln>
                            <a:noFill/>
                          </a:ln>
                        </pic:spPr>
                      </pic:pic>
                    </a:graphicData>
                  </a:graphic>
                </wp:inline>
              </w:drawing>
            </w:r>
          </w:p>
        </w:tc>
        <w:tc>
          <w:tcPr>
            <w:tcW w:w="4481" w:type="pct"/>
            <w:shd w:val="clear" w:color="auto" w:fill="A41E1C"/>
            <w:vAlign w:val="center"/>
            <w:hideMark/>
          </w:tcPr>
          <w:p w:rsidR="006E10C5" w:rsidRPr="00FC575F" w:rsidRDefault="001D4868" w:rsidP="00D8523F">
            <w:pPr>
              <w:pStyle w:val="NASLOVBELO"/>
              <w:spacing w:after="120" w:line="360" w:lineRule="auto"/>
              <w:contextualSpacing w:val="0"/>
              <w:rPr>
                <w:color w:val="FFE599"/>
                <w:sz w:val="22"/>
                <w:szCs w:val="22"/>
                <w:lang w:val="sr-Cyrl-RS"/>
              </w:rPr>
            </w:pPr>
            <w:r w:rsidRPr="001D4868">
              <w:rPr>
                <w:color w:val="FFE599"/>
                <w:sz w:val="22"/>
                <w:szCs w:val="22"/>
              </w:rPr>
              <w:t>ОДЛУКА</w:t>
            </w:r>
            <w:r>
              <w:rPr>
                <w:color w:val="FFE599"/>
                <w:sz w:val="22"/>
                <w:szCs w:val="22"/>
              </w:rPr>
              <w:t xml:space="preserve"> </w:t>
            </w:r>
          </w:p>
          <w:p w:rsidR="006E26A9" w:rsidRPr="00FC575F" w:rsidRDefault="001D4868" w:rsidP="0075050F">
            <w:pPr>
              <w:pStyle w:val="NASLOVBELO"/>
              <w:spacing w:after="120"/>
              <w:contextualSpacing w:val="0"/>
              <w:rPr>
                <w:sz w:val="22"/>
                <w:szCs w:val="22"/>
              </w:rPr>
            </w:pPr>
            <w:r w:rsidRPr="001D4868">
              <w:rPr>
                <w:sz w:val="22"/>
                <w:szCs w:val="22"/>
              </w:rPr>
              <w:t>О УТВРЂИВАЊУ ГОДИШЊЕГ ПЛАНА ОБРАЗОВАЊА ОДРАСЛИХ У РЕПУБЛИЦИ СРБИЈИ ЗА 2025. ГОДИНУ</w:t>
            </w:r>
          </w:p>
          <w:p w:rsidR="00932A9A" w:rsidRPr="00801FF1" w:rsidRDefault="006E26A9" w:rsidP="001D4868">
            <w:pPr>
              <w:pStyle w:val="podnaslovpropisa"/>
              <w:spacing w:before="120" w:beforeAutospacing="0" w:after="0" w:afterAutospacing="0"/>
              <w:rPr>
                <w:sz w:val="18"/>
                <w:szCs w:val="18"/>
              </w:rPr>
            </w:pPr>
            <w:r w:rsidRPr="006E26A9">
              <w:rPr>
                <w:sz w:val="18"/>
                <w:szCs w:val="18"/>
              </w:rPr>
              <w:t xml:space="preserve"> </w:t>
            </w:r>
            <w:r w:rsidR="006E10C5" w:rsidRPr="00801FF1">
              <w:rPr>
                <w:sz w:val="18"/>
                <w:szCs w:val="18"/>
              </w:rPr>
              <w:t xml:space="preserve">("Сл. гласник РС", бр. </w:t>
            </w:r>
            <w:r w:rsidR="00FC575F">
              <w:rPr>
                <w:sz w:val="18"/>
                <w:szCs w:val="18"/>
              </w:rPr>
              <w:t>1</w:t>
            </w:r>
            <w:r w:rsidR="001D4868">
              <w:rPr>
                <w:sz w:val="18"/>
                <w:szCs w:val="18"/>
              </w:rPr>
              <w:t>6</w:t>
            </w:r>
            <w:r w:rsidR="0018073B" w:rsidRPr="0018073B">
              <w:rPr>
                <w:sz w:val="18"/>
                <w:szCs w:val="18"/>
              </w:rPr>
              <w:t>/</w:t>
            </w:r>
            <w:r w:rsidR="00B11EDB" w:rsidRPr="00801FF1">
              <w:rPr>
                <w:sz w:val="18"/>
                <w:szCs w:val="18"/>
              </w:rPr>
              <w:t>202</w:t>
            </w:r>
            <w:r w:rsidR="00B11EDB">
              <w:rPr>
                <w:sz w:val="18"/>
                <w:szCs w:val="18"/>
                <w:lang w:val="sr-Cyrl-RS"/>
              </w:rPr>
              <w:t>5</w:t>
            </w:r>
            <w:r w:rsidR="006E10C5" w:rsidRPr="00801FF1">
              <w:rPr>
                <w:sz w:val="18"/>
                <w:szCs w:val="18"/>
              </w:rPr>
              <w:t>)</w:t>
            </w:r>
          </w:p>
        </w:tc>
      </w:tr>
    </w:tbl>
    <w:p w:rsidR="008050DD" w:rsidRDefault="009B18DE" w:rsidP="00412A09">
      <w:pPr>
        <w:spacing w:before="120" w:after="120" w:line="276" w:lineRule="auto"/>
        <w:contextualSpacing w:val="0"/>
        <w:rPr>
          <w:rFonts w:ascii="Verdana" w:eastAsia="Times New Roman" w:hAnsi="Verdana"/>
          <w:b/>
          <w:bCs/>
          <w:noProof w:val="0"/>
          <w:color w:val="333333"/>
          <w:lang w:val="sr-Cyrl-RS"/>
        </w:rPr>
      </w:pPr>
      <w:bookmarkStart w:id="0" w:name="str_1"/>
      <w:bookmarkEnd w:id="0"/>
      <w:r>
        <w:rPr>
          <w:rFonts w:ascii="Verdana" w:eastAsia="Times New Roman" w:hAnsi="Verdana"/>
          <w:b/>
          <w:bCs/>
          <w:noProof w:val="0"/>
          <w:color w:val="333333"/>
          <w:lang w:val="sr-Cyrl-RS"/>
        </w:rPr>
        <w:t xml:space="preserve"> </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b/>
          <w:sz w:val="22"/>
        </w:rPr>
        <w:t>ГОДИШЊИ ПЛАН ОБРАЗОВАЊА ОДРАСЛИХ У РЕПУБЛИЦИ СРБИЈИ ЗА 2025. ГОДИНУ</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I) УВОД</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Образовање одраслих и целоживотно учење један је од кључних покретача националног и локалног развоја. Висок ниво компетенција становништва најчешће је тесно повезан са конкурентношћу државе, региона, односно генерално гледано, са квалитетом живота и привлачности за инвестирање у исте. Друштво и појединци се континуирано мењају и прилагођавају, усаглашавају своје потребе, интересе и капацитете са брзим технолошким, и друштвеним променама. Образовање одраслих и целоживотно учење доприноси флексибилности и већој запошљивости радне снаге омогућујући лакши приступ образовним услугама за све слојеве становништва.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складу са Стратегијом за развој образовања и васпитања у Републици Србији до 2030. године, (</w:t>
      </w:r>
      <w:r>
        <w:rPr>
          <w:rFonts w:ascii="Arial" w:eastAsia="Verdana" w:hAnsi="Arial" w:cs="Arial"/>
          <w:sz w:val="22"/>
        </w:rPr>
        <w:t>"</w:t>
      </w:r>
      <w:r w:rsidRPr="001D4868">
        <w:rPr>
          <w:rFonts w:ascii="Arial" w:eastAsia="Verdana" w:hAnsi="Arial" w:cs="Arial"/>
          <w:sz w:val="22"/>
        </w:rPr>
        <w:t>Службени гласник РС</w:t>
      </w:r>
      <w:r>
        <w:rPr>
          <w:rFonts w:ascii="Arial" w:eastAsia="Verdana" w:hAnsi="Arial" w:cs="Arial"/>
          <w:sz w:val="22"/>
        </w:rPr>
        <w:t>"</w:t>
      </w:r>
      <w:r w:rsidRPr="001D4868">
        <w:rPr>
          <w:rFonts w:ascii="Arial" w:eastAsia="Verdana" w:hAnsi="Arial" w:cs="Arial"/>
          <w:sz w:val="22"/>
        </w:rPr>
        <w:t>, број 63/21), визија развоја образовања у 21. веку је да обезбеди квалитетно образовање за постизање пуног потенцијала становништва, а нарочито сваког детета и младе особе у Републици Србији. Мисија образовања је да се обезбеди образовање високог квалитета које служи развоју друштва у целини. Визија развоја подразумева даљи рад на изградњи друштва и економије заснованих на знању, друштва које негује вредности као што су солидарност, поштовање, уважавање и јачање инклузивног приступа у образовању који омогућава квалитетно образовање за све и економије која ће бити конкурентна на европском, али и светском економском тржишту. Тежи се ка изградњи модерног и препознатљивог образовног система који ће бити међу системима највишег ранга у погледу квалитета образовних програма, наставних активности, истраживања и стручног рада. Главни фокус визије развоја образовања у 21. веку је на деци и младима, али и активности које доприносе развоју потенцијала одраслих особа (ибид).</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Стратегија има два општа циља: повећани квалитет наставе и учења, праведност и доступност предуниверзитетског образовања и васпитања и ојачана васпитна функција образовно-васпитних установа и повећан квалитет и унапређена релевантност и праведност високог образовања. Реформски процеси у подсистему образовања одраслих планирани за наредни период доминантно се реферишу на неформално образовање и обучавање одраслих, док је формално образовање одраслих на маргинама стратешког документа.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Тако су у Стратегији планиране следеће интервенције у области образовања одраслих: унапређивање нормативног оквира за развој неформалног образовања одраслих; унапређивање система осигурања квалитета у образовању одраслих (нпр. унапређивање стандарда и система за одобравање статуса јавно признатог организатора активности образовања одраслих (у даљем тексту: ЈПОА), унапређивање стандарда и процедура за самовредновање и спољашње вредновање рада ЈПОА; унапређивање методолошког оквира за развој програма неформалног образовања заснованог на стандарду квалификације и методологије за њихову (пр)оцену; развој процедура, метода и инструмената који се користе у поступку активности признавања претходног учења (у даљем тексту: ППУ); формирање база стручњака за примену система Националног оквира квалификација Србије (у даљем тексту: НОКС); праћење и континуирано унапређивање система осигурања квалитета; праћење ефеката примене квалификација на запошљавање и целоживотно учење, унапређивање партиципације одраслих у систем образовања одраслих (учешће у програмима обука, ППУ, каријерног вођења и саветовања (у даљем тексту: КВиС), унапређивање мреже акредитованих пружаоца услуга обучавања (повећавање броја провајдера који имају акредитоване програме за активности образовања одраслих (обуке, ППУ, КВиС)), унапређивање капацитета институција и тела укључених у систем образовања одраслих (нпр. унапређивање капацитета ЈПОА за развој нових програма обуке у складу са стандардом квалификације и њихово умрежавање; обучавање институција/тела и кадра укљученог у спровођење активности образовања одраслих; унапређивање капацитета социјалних партнера за активно учешће у развоју система квалификација; унапређивање сарадње послодаваца из система дуалног образовања са ЈПОА), унапређивање транспарентности система образовања одраслих (нпр. унос података за </w:t>
      </w:r>
      <w:r w:rsidRPr="001D4868">
        <w:rPr>
          <w:rFonts w:ascii="Arial" w:eastAsia="Verdana" w:hAnsi="Arial" w:cs="Arial"/>
          <w:sz w:val="22"/>
        </w:rPr>
        <w:lastRenderedPageBreak/>
        <w:t>Подрегистар ЈПОА), промоција целоживотног учења, и др. (ибид). Образовање одраслих представља значајну компоненту процеса целоживотног учења које обједињује различите облике и програме формалног образовања, неформалног и информалног учења. Образовне активности у оквиру овог система образовања усмеравају се на допринос одговорима на економске, друштвене, културне, еколошке, дигиталне и друге изазове у нашем друштву. Основна сврха развоја система образовања одраслих је да обезбеди одраслима стицање компетенција и квалификација потребних за лични и професионални развој, рад и запошљавање.Унапређивање формалног образовања одраслих операционализовано је кроз активности које се односе на програм Фунционалног основног образовања одраслих (у даљем тексту: ФООО) и делимично програме преквалификације, доквалификације и специјализације (у даљем тексту: ПДС) у оквиру активности регионалних тренинг центара.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Поред Стратегије, приоритетне области и активности образовања одраслих дефинишу се Годишњим планом образовања одраслих (у даљем тексту: ГПОО), који Влада Републике Србије усваја сваке године и он представља један од главних инструмената за праћење остварености стратешких циљева дефинисаних у стратешким документима релевантних министарстава. Значај образовања одраслих истиче се и у стратешким документима других сектора (рада, запошљавања, омладине, индустријског развоја, цивилног сектора и др.) где се образовање одраслих посматра као један од важних инструмената за развој економије засноване на знању која је у стању да обезбеди унапређивање људског капитала, те запосленост становништва.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Утврђивање јавног интереса у области образовања одраслих и целоживотног учења на годишњем нивоу дефинисано је одредбама члана 56. Закона о образовању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Стратешко опредељење Републике Србије иде у правцу </w:t>
      </w:r>
      <w:r w:rsidRPr="001D4868">
        <w:rPr>
          <w:rFonts w:ascii="Arial" w:eastAsia="Verdana" w:hAnsi="Arial" w:cs="Arial"/>
          <w:b/>
          <w:sz w:val="22"/>
        </w:rPr>
        <w:t>повећања учешћа одраслих у активностима целоживотног учења</w:t>
      </w:r>
      <w:r w:rsidRPr="001D4868">
        <w:rPr>
          <w:rFonts w:ascii="Arial" w:eastAsia="Verdana" w:hAnsi="Arial" w:cs="Arial"/>
          <w:sz w:val="22"/>
        </w:rPr>
        <w:t xml:space="preserve"> као и у правцу </w:t>
      </w:r>
      <w:r w:rsidRPr="001D4868">
        <w:rPr>
          <w:rFonts w:ascii="Arial" w:eastAsia="Verdana" w:hAnsi="Arial" w:cs="Arial"/>
          <w:b/>
          <w:sz w:val="22"/>
        </w:rPr>
        <w:t>побољшања квалитета и транспарентности система образовања одраслих</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Годишњи план образовања одраслих за 2025. годину, припремила је међуресорна Радна група, која је формирана у Заводу за унапређивање образовања и васпитања (у даљем тексту: ЗУОВ). У раду су учествовали представници Министарства просвете, Министарства за рад, запошљавање, борачка и социјална питања, Министарства привреде, Привредне коморе Србије (у даљем тексту: ПКС), Националне службе за запошљавање (у даљем тексту: НСЗ), Уније послодаваца Србије, Фондације ТЕМПУС, Института за педагогију и андрагогију Филозофског факултета Београдског Универзитета, ЗУОВ-а, Националне академије за јавну управу (у даљем тексту: НАЈУ) и Агенције за квалификације (у даљем тексту: АзК).</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Министарство просвете је, директно и преко школских управа, у припреми Предлога ГПОО, прибавило податке о плановима и активностима образовања одраслих за 2025. годину, од јединица локалне самоуправе (у даљем тексту: ЈЛС), Привредне коморе Србије, удружења послодаваца, НСЗ, као и од других релевантних министарстава, установа и организација.</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II) ТРЕНДОВИ У ОБРАЗОВАЊУ И ЗАПОШЉАВАЊУ</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b/>
          <w:sz w:val="22"/>
        </w:rPr>
        <w:t>1. Трендови у образовању одраслих</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i/>
          <w:sz w:val="22"/>
        </w:rPr>
        <w:t>1.1. Европски трендови у образовању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На европском нивоу, значајна је 2023. година, која је била обележена новим препорукама и иницијативама, као и континуираним радом релевантних радних група које је формирала Европска комисија. Надовезујући се на резултате радних група ЕТ 2020, као део новог циклуса европске сарадње у области образовања и обука (за период 2021−2030), релевантне радне групе на свим нивоима образовања настављају са радом до истека њиховог садашњег мандата у децембру 2025. године, а у циљу изградње квалитета европског образовног простора. Једна од њих је </w:t>
      </w:r>
      <w:r w:rsidRPr="001D4868">
        <w:rPr>
          <w:rFonts w:ascii="Arial" w:eastAsia="Verdana" w:hAnsi="Arial" w:cs="Arial"/>
          <w:i/>
          <w:sz w:val="22"/>
        </w:rPr>
        <w:t>Радна група за учење одраслих: отварање могућности за све</w:t>
      </w:r>
      <w:r w:rsidRPr="001D4868">
        <w:rPr>
          <w:rFonts w:ascii="Arial" w:eastAsia="Verdana" w:hAnsi="Arial" w:cs="Arial"/>
          <w:sz w:val="22"/>
        </w:rPr>
        <w:t xml:space="preserve"> чији је циљ пружање подршке у имплементацији активности Европске агенде вештина 2020 и изградња капацитета за постизање имплементације Препорука Савета 2016 (</w:t>
      </w:r>
      <w:r w:rsidRPr="001D4868">
        <w:rPr>
          <w:rFonts w:ascii="Arial" w:eastAsia="Verdana" w:hAnsi="Arial" w:cs="Arial"/>
          <w:i/>
          <w:sz w:val="22"/>
        </w:rPr>
        <w:t>Council Recommendation on Upskilling Pathways</w:t>
      </w:r>
      <w:r w:rsidRPr="001D4868">
        <w:rPr>
          <w:rFonts w:ascii="Arial" w:eastAsia="Verdana" w:hAnsi="Arial" w:cs="Arial"/>
          <w:sz w:val="22"/>
        </w:rPr>
        <w:t>) и 2022 (</w:t>
      </w:r>
      <w:r w:rsidRPr="001D4868">
        <w:rPr>
          <w:rFonts w:ascii="Arial" w:eastAsia="Verdana" w:hAnsi="Arial" w:cs="Arial"/>
          <w:i/>
          <w:sz w:val="22"/>
        </w:rPr>
        <w:t>Council recommendations on individual learning accounts and on micro-credentials</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Практичари који спроводе услуге КВиС у раду са одраслим полазницима редовно учествују и у активностима које </w:t>
      </w:r>
      <w:r w:rsidRPr="001D4868">
        <w:rPr>
          <w:rFonts w:ascii="Arial" w:eastAsia="Verdana" w:hAnsi="Arial" w:cs="Arial"/>
          <w:i/>
          <w:sz w:val="22"/>
        </w:rPr>
        <w:t xml:space="preserve">Euroguidance </w:t>
      </w:r>
      <w:r w:rsidRPr="001D4868">
        <w:rPr>
          <w:rFonts w:ascii="Arial" w:eastAsia="Verdana" w:hAnsi="Arial" w:cs="Arial"/>
          <w:sz w:val="22"/>
        </w:rPr>
        <w:t xml:space="preserve">центар организује у циљу подршке развоју система каријерног вођења у Републици Србији и размене информација о новим иницијативама у овој области на националном и европском нивоу, попут Годишње националне конференције </w:t>
      </w:r>
      <w:r w:rsidRPr="001D4868">
        <w:rPr>
          <w:rFonts w:ascii="Arial" w:eastAsia="Verdana" w:hAnsi="Arial" w:cs="Arial"/>
          <w:i/>
          <w:sz w:val="22"/>
        </w:rPr>
        <w:t xml:space="preserve">Каријерно вођење и саветовање у Републици Србији и Европи </w:t>
      </w:r>
      <w:r w:rsidRPr="001D4868">
        <w:rPr>
          <w:rFonts w:ascii="Arial" w:eastAsia="Verdana" w:hAnsi="Arial" w:cs="Arial"/>
          <w:sz w:val="22"/>
        </w:rPr>
        <w:t xml:space="preserve">и међународних семинара на тему каријерног вођења, те се редовно информишу о актуелностима и новинама у области услуга КВиС путем месечног </w:t>
      </w:r>
      <w:r w:rsidRPr="001D4868">
        <w:rPr>
          <w:rFonts w:ascii="Arial" w:eastAsia="Verdana" w:hAnsi="Arial" w:cs="Arial"/>
          <w:sz w:val="22"/>
        </w:rPr>
        <w:lastRenderedPageBreak/>
        <w:t xml:space="preserve">електронског билтена за каријерне практичаре и годишње публикације под називом </w:t>
      </w:r>
      <w:r w:rsidRPr="001D4868">
        <w:rPr>
          <w:rFonts w:ascii="Arial" w:eastAsia="Verdana" w:hAnsi="Arial" w:cs="Arial"/>
          <w:i/>
          <w:sz w:val="22"/>
        </w:rPr>
        <w:t xml:space="preserve">Каријера и мобилности. </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Како показују бројни подаци, значајан удео одраслих у Европи има низак ниво језичке и математичке писмености и/или дигиталних вештина. Један од података је и индекс дигиталне економије и друштва (</w:t>
      </w:r>
      <w:r w:rsidRPr="001D4868">
        <w:rPr>
          <w:rFonts w:ascii="Arial" w:eastAsia="Verdana" w:hAnsi="Arial" w:cs="Arial"/>
          <w:i/>
          <w:sz w:val="22"/>
        </w:rPr>
        <w:t>The Digital Economy and Society Index</w:t>
      </w:r>
      <w:r w:rsidRPr="001D4868">
        <w:rPr>
          <w:rFonts w:ascii="Arial" w:eastAsia="Verdana" w:hAnsi="Arial" w:cs="Arial"/>
          <w:sz w:val="22"/>
        </w:rPr>
        <w:t>) који показује да крајем 2021. године, четири од 10 одраслих особа у Европи не поседује основне дигиталне вештине.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Међународна истраживање о вештинама одраслих (PIAAC), показује да је око један од пет одраслих особа у просеку у земљама са ниским перформансама у вештинама писмености и рачунања.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Након првог издања из 2013. године, свеобухватно истраживање је проценило вештине писмености, рачунања и решавања проблема код одраслих особа у доби од 16 до 65 година, у 20 земаља чланица </w:t>
      </w:r>
      <w:r>
        <w:rPr>
          <w:rFonts w:ascii="Arial" w:eastAsia="Verdana" w:hAnsi="Arial" w:cs="Arial"/>
          <w:sz w:val="22"/>
        </w:rPr>
        <w:t>-</w:t>
      </w:r>
      <w:r w:rsidRPr="001D4868">
        <w:rPr>
          <w:rFonts w:ascii="Arial" w:eastAsia="Verdana" w:hAnsi="Arial" w:cs="Arial"/>
          <w:sz w:val="22"/>
        </w:rPr>
        <w:t xml:space="preserve"> Аустрији, Белгији (Фландрија), Хрватској, Чешкој, Данској, Естонији, Финској, Француској, Немачкој, Мађарској, Ирској, Италији, Летонији, Литванији, Холандији, Пољској, Португалу, Словачкој, Шпанији и Шведској </w:t>
      </w:r>
      <w:r>
        <w:rPr>
          <w:rFonts w:ascii="Arial" w:eastAsia="Verdana" w:hAnsi="Arial" w:cs="Arial"/>
          <w:sz w:val="22"/>
        </w:rPr>
        <w:t>-</w:t>
      </w:r>
      <w:r w:rsidRPr="001D4868">
        <w:rPr>
          <w:rFonts w:ascii="Arial" w:eastAsia="Verdana" w:hAnsi="Arial" w:cs="Arial"/>
          <w:sz w:val="22"/>
        </w:rPr>
        <w:t xml:space="preserve"> као и у Канади, Чилеу, Великој Британији (Енглеска), Израелу, Јапану, Кореји, Новом Зеланду, Норвешкој, Сингапуру и САД-у. Налази истраживања имају за циљ да покажу како развијање и коришћење вештина може побољшати изгледе за запошљавање и квалитет живота, као и подстаћи економски раст.</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Упркос напорима да се ојача образовање и обука одраслих током последње деценије, вештине писмености су углавном опале или стагнирале. Значајна побољшања забележена су само у Финској и Данској, док је дошло до опадања у Мађарској, Литванији, Пољској, Словачкој, Аустрији, Чешкој и Француској. Што се тиче вештина рачунања, резултати су нешто позитивнији, иако су напредак оствариле само Финска, Естонија, Данска и Холандија. Истраживање такође показује да су неједнакости у вештинама између најслабијих и најбољих одраслих особа порасле унутар земаља, посебно у вези са писменошћу. Вештине су кључни фактори запошљивости и плата. Најбоље рангиране земље Европске уније (у даљем тексту: ЕУ) у свим подручјима вештина биле су Финска, Холандија и Шведска.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Модул истраживања послодаваца испитује преваленцију и утицај јазова у вештинама у пет европских земаља: Мађарској, Италији, Холандији, Португалу и Словачкој, и анализира како фирме одговарају кроз стратегије попут предвиђања вештина, обуке и циљаног запошљавања. Више од једне трећине фирми извештава о нескладу између вештина које им требају и оних које њихови запослени поседују.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том светлу, а у складу са једним од шест приоритета Европске комисије до 2024. године, </w:t>
      </w:r>
      <w:r w:rsidRPr="001D4868">
        <w:rPr>
          <w:rFonts w:ascii="Arial" w:eastAsia="Verdana" w:hAnsi="Arial" w:cs="Arial"/>
          <w:b/>
          <w:sz w:val="22"/>
        </w:rPr>
        <w:t>A Europe fit for the digital age</w:t>
      </w:r>
      <w:r w:rsidRPr="001D4868">
        <w:rPr>
          <w:rFonts w:ascii="Arial" w:eastAsia="Verdana" w:hAnsi="Arial" w:cs="Arial"/>
          <w:sz w:val="22"/>
        </w:rPr>
        <w:t xml:space="preserve">, донета је одлука да 2023. година, буде </w:t>
      </w:r>
      <w:r w:rsidRPr="001D4868">
        <w:rPr>
          <w:rFonts w:ascii="Arial" w:eastAsia="Verdana" w:hAnsi="Arial" w:cs="Arial"/>
          <w:i/>
          <w:sz w:val="22"/>
        </w:rPr>
        <w:t>Европска година вештина</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складу са Новом европском агендом за образовање одраслих и Европском агендом вештина, током 2024. године, покренута су бројна партнерства у оквиру </w:t>
      </w:r>
      <w:r w:rsidRPr="001D4868">
        <w:rPr>
          <w:rFonts w:ascii="Arial" w:eastAsia="Verdana" w:hAnsi="Arial" w:cs="Arial"/>
          <w:i/>
          <w:sz w:val="22"/>
        </w:rPr>
        <w:t xml:space="preserve">Пакта за вештине </w:t>
      </w:r>
      <w:r w:rsidRPr="001D4868">
        <w:rPr>
          <w:rFonts w:ascii="Arial" w:eastAsia="Verdana" w:hAnsi="Arial" w:cs="Arial"/>
          <w:sz w:val="22"/>
        </w:rPr>
        <w:t xml:space="preserve">како би се на европском нивоу јачала сарадња установа за образовање одраслих, центара за обуке, представника привреде, института и других актера. Управо тако </w:t>
      </w:r>
      <w:r>
        <w:rPr>
          <w:rFonts w:ascii="Arial" w:eastAsia="Verdana" w:hAnsi="Arial" w:cs="Arial"/>
          <w:sz w:val="22"/>
        </w:rPr>
        <w:t>"</w:t>
      </w:r>
      <w:r w:rsidRPr="001D4868">
        <w:rPr>
          <w:rFonts w:ascii="Arial" w:eastAsia="Verdana" w:hAnsi="Arial" w:cs="Arial"/>
          <w:sz w:val="22"/>
        </w:rPr>
        <w:t>Нова европска агенда за учење одраслих 2030</w:t>
      </w:r>
      <w:r>
        <w:rPr>
          <w:rFonts w:ascii="Arial" w:eastAsia="Verdana" w:hAnsi="Arial" w:cs="Arial"/>
          <w:sz w:val="22"/>
        </w:rPr>
        <w:t>"</w:t>
      </w:r>
      <w:r w:rsidRPr="001D4868">
        <w:rPr>
          <w:rFonts w:ascii="Arial" w:eastAsia="Verdana" w:hAnsi="Arial" w:cs="Arial"/>
          <w:sz w:val="22"/>
        </w:rPr>
        <w:t>, донета крајем 2021. године, истиче значај међусекторске сарадње различитих актера и ефикасну координацију на европском, националном, регионалном и локалном нивоу, као и важност дијалога свих актера будући да релевантне установе, појединци, послодавци и држава имају користи од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Сви европски трендови у образовању одраслих 2024. године, су се у великој мери ослањали на општи циљ Нове европске агенде за образовање одраслих 2030, а то је развој квалитета понуде и промоције активности образовања одраслих, као и веће учешће одраслих у активностима формалног, неформалног и информалног образовања одраслих. Како је у Новој европској агенди за учење одраслих 2030 дефинисано пет приоритетних области како би се обезбедили континуитет рада и даљи развој образовања одраслих (Управљање; Понуда и учешће у приликама за целоживотно учење; Приступачност и флексибилност; Квалитет, правичност, инклузија и успех у учењу одраслих и Зелена и дигитална транзиција), важно је поменути и шире препоруке које су донете 2024. године, са сродним циљевима.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Једна од њих је Препорука Савета са почетка 2022. године, о одрживом развоју (</w:t>
      </w:r>
      <w:r w:rsidRPr="001D4868">
        <w:rPr>
          <w:rFonts w:ascii="Arial" w:eastAsia="Verdana" w:hAnsi="Arial" w:cs="Arial"/>
          <w:i/>
          <w:sz w:val="22"/>
        </w:rPr>
        <w:t>Council Recommendation on learning for environmental sustainability</w:t>
      </w:r>
      <w:r w:rsidRPr="001D4868">
        <w:rPr>
          <w:rFonts w:ascii="Arial" w:eastAsia="Verdana" w:hAnsi="Arial" w:cs="Arial"/>
          <w:sz w:val="22"/>
        </w:rPr>
        <w:t xml:space="preserve">). Овај међусекторски документ говори и о значају пружања могућности учења у различитим окружењима у оквиру образовања одраслих како би се сви појединци припремили за зелену транзицију и активно јој допринели, али и имали </w:t>
      </w:r>
      <w:r w:rsidRPr="001D4868">
        <w:rPr>
          <w:rFonts w:ascii="Arial" w:eastAsia="Verdana" w:hAnsi="Arial" w:cs="Arial"/>
          <w:sz w:val="22"/>
        </w:rPr>
        <w:lastRenderedPageBreak/>
        <w:t>конкретне вештине за предузимање мера за еколошки одрживо и климатски неутрално управљање и живот у праведном друштву.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остваривању поменутих индикатора и циљева значајно може да помогне Еразмус+, највећи европски програм подршке образовању, обукама и спорту у оквиру ког је за период 2021−2027. издвојено 26,2 милијарди евра за пројекте у овим областима, што је скоро двоструко више од средстава која су била доступна у претходном циклусу који је трајао од 2014. до 2020. године. Еразмус+ програм настоји да у периоду 2021−2027. омогући учешће још већем броју учесника и ширем спектру организација у пројектима мобилности и пројектима сарадње на међународном нивоу у области образовања. У складу са осталим европским стратешким документима за образовање, приоритетне теме у новом програму су инклузивност, зелене иницијативе и дигитализација − кључни и најважнији приоритети које програм подржава низом финансијских механизама, јачањем грађанских вредности, дијалогом култура, толеранцијом и разумевањем друштвеног, културног и историјског наслеђа. Важно је подсетити и на индикаторе и циљеве Агенде европских вештина, који су наведени у прошлогодишњем плану, а односе се на период до 2025. године. Циљеви предвиђени за овај период директно се тичу унапређења вештина (доквалификације) и стицања нових вештина (преквалификације). Кроз квантитативне индикаторе и 12 акција агенда ставља фокус на стицање вештина за запошљавање, као и на обезбеђивање прилика за обуке и целоживотно учење у складу са Европским стубом социјалних права, који је заснован на принципима организованим у три категорије: једнаке могућности и једнак приступ тржишту рада за све, поштени услови за рад и социјална заштита и инклузија.</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i/>
          <w:sz w:val="22"/>
        </w:rPr>
        <w:t xml:space="preserve">1.2. Трендови образовања одраслих у Републици Србији </w:t>
      </w:r>
      <w:r>
        <w:rPr>
          <w:rFonts w:ascii="Arial" w:eastAsia="Verdana" w:hAnsi="Arial" w:cs="Arial"/>
          <w:i/>
          <w:sz w:val="22"/>
        </w:rPr>
        <w:t>-</w:t>
      </w:r>
      <w:r w:rsidRPr="001D4868">
        <w:rPr>
          <w:rFonts w:ascii="Arial" w:eastAsia="Verdana" w:hAnsi="Arial" w:cs="Arial"/>
          <w:i/>
          <w:sz w:val="22"/>
        </w:rPr>
        <w:t xml:space="preserve"> стратешки правци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складу са ЕУРОСТАТ методологијом, партиципација одраслих у програмима образовања и обучавања мери се кроз две анкете </w:t>
      </w:r>
      <w:r>
        <w:rPr>
          <w:rFonts w:ascii="Arial" w:eastAsia="Verdana" w:hAnsi="Arial" w:cs="Arial"/>
          <w:sz w:val="22"/>
        </w:rPr>
        <w:t>-</w:t>
      </w:r>
      <w:r w:rsidRPr="001D4868">
        <w:rPr>
          <w:rFonts w:ascii="Arial" w:eastAsia="Verdana" w:hAnsi="Arial" w:cs="Arial"/>
          <w:sz w:val="22"/>
        </w:rPr>
        <w:t xml:space="preserve"> Анкета о радној снази и Анкета о образовању одраслих. Анкета о радној снази прати учешће одраслих старости између 25</w:t>
      </w:r>
      <w:r>
        <w:rPr>
          <w:rFonts w:ascii="Arial" w:eastAsia="Verdana" w:hAnsi="Arial" w:cs="Arial"/>
          <w:sz w:val="22"/>
        </w:rPr>
        <w:t>-</w:t>
      </w:r>
      <w:r w:rsidRPr="001D4868">
        <w:rPr>
          <w:rFonts w:ascii="Arial" w:eastAsia="Verdana" w:hAnsi="Arial" w:cs="Arial"/>
          <w:sz w:val="22"/>
        </w:rPr>
        <w:t>64 година, у формалном и неформалном образовању и обуци током последњих 12 месеци. Према последњим расположивим подацима Анкете о радној снази за 2022. годину, 12.4% одраслих између 25</w:t>
      </w:r>
      <w:r>
        <w:rPr>
          <w:rFonts w:ascii="Arial" w:eastAsia="Verdana" w:hAnsi="Arial" w:cs="Arial"/>
          <w:sz w:val="22"/>
        </w:rPr>
        <w:t>-</w:t>
      </w:r>
      <w:r w:rsidRPr="001D4868">
        <w:rPr>
          <w:rFonts w:ascii="Arial" w:eastAsia="Verdana" w:hAnsi="Arial" w:cs="Arial"/>
          <w:sz w:val="22"/>
        </w:rPr>
        <w:t xml:space="preserve">64. године, је партиципарало у програмима формалног и неформалног образовања и обуци током последњих 12 месеци, односно 10,7% мушкараца и 14,1% жена, што је испод просека земаља ЕУ </w:t>
      </w:r>
      <w:r>
        <w:rPr>
          <w:rFonts w:ascii="Arial" w:eastAsia="Verdana" w:hAnsi="Arial" w:cs="Arial"/>
          <w:sz w:val="22"/>
        </w:rPr>
        <w:t>-</w:t>
      </w:r>
      <w:r w:rsidRPr="001D4868">
        <w:rPr>
          <w:rFonts w:ascii="Arial" w:eastAsia="Verdana" w:hAnsi="Arial" w:cs="Arial"/>
          <w:sz w:val="22"/>
        </w:rPr>
        <w:t xml:space="preserve"> 25,1%. Највећу партиципацију одраслих у образовању одраслих имају земље као што су Шведска (58,7%), Естонија (52,3%), Исланд (53,1%), Данска (49,1%), затим Норвешка (48,4%) и Финска (43,9%) и сл. Нешто је већа стопа партиципације одраслих у програмима формалног и неформалног образовања за старосну категорију 18</w:t>
      </w:r>
      <w:r>
        <w:rPr>
          <w:rFonts w:ascii="Arial" w:eastAsia="Verdana" w:hAnsi="Arial" w:cs="Arial"/>
          <w:sz w:val="22"/>
        </w:rPr>
        <w:t>-</w:t>
      </w:r>
      <w:r w:rsidRPr="001D4868">
        <w:rPr>
          <w:rFonts w:ascii="Arial" w:eastAsia="Verdana" w:hAnsi="Arial" w:cs="Arial"/>
          <w:sz w:val="22"/>
        </w:rPr>
        <w:t xml:space="preserve">64 и износи 18,2%, 16,0% мушкарци и 20,3% жене. То из разлога што је стопа партиципације младих одраслих од 18 до 24 године значајна </w:t>
      </w:r>
      <w:r>
        <w:rPr>
          <w:rFonts w:ascii="Arial" w:eastAsia="Verdana" w:hAnsi="Arial" w:cs="Arial"/>
          <w:sz w:val="22"/>
        </w:rPr>
        <w:t>-</w:t>
      </w:r>
      <w:r w:rsidRPr="001D4868">
        <w:rPr>
          <w:rFonts w:ascii="Arial" w:eastAsia="Verdana" w:hAnsi="Arial" w:cs="Arial"/>
          <w:sz w:val="22"/>
        </w:rPr>
        <w:t xml:space="preserve"> 61,3%, односно 54,5% мушкарци и 68,5% 8 жене. Висока стопа младих одраслих може се објаснити тиме што наведена категорија доминантно партиципира у програмима формалног средњег и високог образовања. Посматрано на нивоу региона Република Србија у 2022. години, је имала нижу стопу партиципације одраслих у односу на Републику Словенију (36,2%), односно већу стопу учешћа од Републике Хрватске (8,9%) и Босне и Херцеговине (2,2%) (ЕУРОСТАТ)</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Ради праћења спровођења Агенде за одрживи развој 2030 Републички завод за статистику (у даљем тексту: РЗС) води податак о стопи учешћа младих и одраслих у формалном и неформалном образовању и обукама у претходна четири месеца. Према подацима за 2023. годину, стопа учешћа младих и одраслих у формалном и неформалном образовању и обукама у претходна четири месеца била је 6,1%, односно 5,5% мушкарци и 6,7% жене (РЗС). Са друге стране Анкета о образовању одраслих прати учешће одраслих старости између 25</w:t>
      </w:r>
      <w:r>
        <w:rPr>
          <w:rFonts w:ascii="Arial" w:eastAsia="Verdana" w:hAnsi="Arial" w:cs="Arial"/>
          <w:sz w:val="22"/>
        </w:rPr>
        <w:t>-</w:t>
      </w:r>
      <w:r w:rsidRPr="001D4868">
        <w:rPr>
          <w:rFonts w:ascii="Arial" w:eastAsia="Verdana" w:hAnsi="Arial" w:cs="Arial"/>
          <w:sz w:val="22"/>
        </w:rPr>
        <w:t xml:space="preserve">64 година, у образовању и обукама, период посматрања је 12 месеци који су претходили реализацији анкете и спроводи се у шестогодишњој периодици. Према подацима последње Анкете о образовању одраслих објављене 2022. године, стопа партиципације одраслих у Републици Србији била је 22,2%, чиме је настављен симболичан тренд раста стопе партиципације одраслих од 16,5% </w:t>
      </w:r>
      <w:r>
        <w:rPr>
          <w:rFonts w:ascii="Arial" w:eastAsia="Verdana" w:hAnsi="Arial" w:cs="Arial"/>
          <w:sz w:val="22"/>
        </w:rPr>
        <w:t>-</w:t>
      </w:r>
      <w:r w:rsidRPr="001D4868">
        <w:rPr>
          <w:rFonts w:ascii="Arial" w:eastAsia="Verdana" w:hAnsi="Arial" w:cs="Arial"/>
          <w:sz w:val="22"/>
        </w:rPr>
        <w:t xml:space="preserve"> 2011. године, преко 19,8% </w:t>
      </w:r>
      <w:r>
        <w:rPr>
          <w:rFonts w:ascii="Arial" w:eastAsia="Verdana" w:hAnsi="Arial" w:cs="Arial"/>
          <w:sz w:val="22"/>
        </w:rPr>
        <w:t>-</w:t>
      </w:r>
      <w:r w:rsidRPr="001D4868">
        <w:rPr>
          <w:rFonts w:ascii="Arial" w:eastAsia="Verdana" w:hAnsi="Arial" w:cs="Arial"/>
          <w:sz w:val="22"/>
        </w:rPr>
        <w:t xml:space="preserve"> 2016. године. Иако стопа партиципације одраслих у Републици Србији расте, она је и даље значајно нижа од просека ЕУ земаља где је стопа партиципације одраслих 46,6%. Највећу партиципацију одраслих у образовању одраслих имају земље као што су Шведска (73,9%), Холандија (65,2%), Мађарска (62,4%), Немачка (60,4%), Норвешка (59,9%), Исланд (59,6%), Аустрија (58,0%), Ирска (54,8%), Словачка (54,8%), Швајцарска (53,8%), Финска (53,1%), Данска (53,0%) и сл. Посматрано на нивоу региона Република Србија у 2022. години, је имала нижу стопу партиципације одраслих у односу на Републику Хрватску (27,3%) и Републику Словенију (42,4%), док Северна Македонија и Босна и Херцеговина нису спроводиле последњи циклус Анкете о образовању одраслих. Узимајући у обзир последња три циклуса спровођења Анкете о образовању одраслих, највећи раст стопе партиципације одраслих имала је Ирска и то за 30,4 процентних </w:t>
      </w:r>
      <w:r w:rsidRPr="001D4868">
        <w:rPr>
          <w:rFonts w:ascii="Arial" w:eastAsia="Verdana" w:hAnsi="Arial" w:cs="Arial"/>
          <w:sz w:val="22"/>
        </w:rPr>
        <w:lastRenderedPageBreak/>
        <w:t xml:space="preserve">поена (24.4% </w:t>
      </w:r>
      <w:r>
        <w:rPr>
          <w:rFonts w:ascii="Arial" w:eastAsia="Verdana" w:hAnsi="Arial" w:cs="Arial"/>
          <w:sz w:val="22"/>
        </w:rPr>
        <w:t>-</w:t>
      </w:r>
      <w:r w:rsidRPr="001D4868">
        <w:rPr>
          <w:rFonts w:ascii="Arial" w:eastAsia="Verdana" w:hAnsi="Arial" w:cs="Arial"/>
          <w:sz w:val="22"/>
        </w:rPr>
        <w:t xml:space="preserve"> 2011. г., 54.8% </w:t>
      </w:r>
      <w:r>
        <w:rPr>
          <w:rFonts w:ascii="Arial" w:eastAsia="Verdana" w:hAnsi="Arial" w:cs="Arial"/>
          <w:sz w:val="22"/>
        </w:rPr>
        <w:t>-</w:t>
      </w:r>
      <w:r w:rsidRPr="001D4868">
        <w:rPr>
          <w:rFonts w:ascii="Arial" w:eastAsia="Verdana" w:hAnsi="Arial" w:cs="Arial"/>
          <w:sz w:val="22"/>
        </w:rPr>
        <w:t xml:space="preserve"> 2022. г.) и Мађарска за 21,3 процентних поена (41.1% </w:t>
      </w:r>
      <w:r>
        <w:rPr>
          <w:rFonts w:ascii="Arial" w:eastAsia="Verdana" w:hAnsi="Arial" w:cs="Arial"/>
          <w:sz w:val="22"/>
        </w:rPr>
        <w:t>-</w:t>
      </w:r>
      <w:r w:rsidRPr="001D4868">
        <w:rPr>
          <w:rFonts w:ascii="Arial" w:eastAsia="Verdana" w:hAnsi="Arial" w:cs="Arial"/>
          <w:sz w:val="22"/>
        </w:rPr>
        <w:t xml:space="preserve"> 2011.г., 62.4% </w:t>
      </w:r>
      <w:r>
        <w:rPr>
          <w:rFonts w:ascii="Arial" w:eastAsia="Verdana" w:hAnsi="Arial" w:cs="Arial"/>
          <w:sz w:val="22"/>
        </w:rPr>
        <w:t>-</w:t>
      </w:r>
      <w:r w:rsidRPr="001D4868">
        <w:rPr>
          <w:rFonts w:ascii="Arial" w:eastAsia="Verdana" w:hAnsi="Arial" w:cs="Arial"/>
          <w:sz w:val="22"/>
        </w:rPr>
        <w:t xml:space="preserve"> 2022. г.) (ЕУРОСТАТ) (видети Анекс 1).</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Према подацима Анкете за образовање одраслих за категорију одраслих између 25</w:t>
      </w:r>
      <w:r>
        <w:rPr>
          <w:rFonts w:ascii="Arial" w:eastAsia="Verdana" w:hAnsi="Arial" w:cs="Arial"/>
          <w:sz w:val="22"/>
        </w:rPr>
        <w:t>-</w:t>
      </w:r>
      <w:r w:rsidRPr="001D4868">
        <w:rPr>
          <w:rFonts w:ascii="Arial" w:eastAsia="Verdana" w:hAnsi="Arial" w:cs="Arial"/>
          <w:sz w:val="22"/>
        </w:rPr>
        <w:t>69 година, стопа учешћа у неком облику формалног или неформалног образовања или обука износи 19,9%. У неком виду образовања и обуке у периоду од 12 месеци који су претходили анкетирању заступљеније су жене (21,3%) него мушкарци (18,4%). За разлику од младих, одрасли чешће учествују у неформалном образовању и обукама (њих 17,4%), док у формалном образовању учествује свега 3,7% (Анкета о образовању одраслих, 2022). Од испитаника који су учествовали у образовању/обукама, највећи број је учествовао у неком облику неформалног образовања, највише из старосне групе 25</w:t>
      </w:r>
      <w:r>
        <w:rPr>
          <w:rFonts w:ascii="Arial" w:eastAsia="Verdana" w:hAnsi="Arial" w:cs="Arial"/>
          <w:sz w:val="22"/>
        </w:rPr>
        <w:t>-</w:t>
      </w:r>
      <w:r w:rsidRPr="001D4868">
        <w:rPr>
          <w:rFonts w:ascii="Arial" w:eastAsia="Verdana" w:hAnsi="Arial" w:cs="Arial"/>
          <w:sz w:val="22"/>
        </w:rPr>
        <w:t>34 године, високообразовани испитаници и запослени. Приближно 80% испитаника није учествовало ни у једном облику формалног или неформалног образовања. Скоро две петине испитаника (39,6%) желело је да учествује у неком виду образовања али су били спречени првенствено због породичних разлога, распореда обука, тј. преклапања са радним временом, одржавања обука на удаљеним местима, као и трошкова образовања/обуке. Већина испитаника учествовала је у неком од облика информалног учења. Око три четвртине нова знања стиче тако што користи компјутер (75,9%). Од члана породице, пријатеља или колега учи 63,2%. У знатној мери (60,7%), испитаници уче и из штампаних материјала (књиге, стручни часописи и др.), а у најмањој мери обилазећи музеје, библиотеке, центре за учење и сл. (ибид). Према сопственој изјави, 87% испитаника старости 18</w:t>
      </w:r>
      <w:r>
        <w:rPr>
          <w:rFonts w:ascii="Arial" w:eastAsia="Verdana" w:hAnsi="Arial" w:cs="Arial"/>
          <w:sz w:val="22"/>
        </w:rPr>
        <w:t>-</w:t>
      </w:r>
      <w:r w:rsidRPr="001D4868">
        <w:rPr>
          <w:rFonts w:ascii="Arial" w:eastAsia="Verdana" w:hAnsi="Arial" w:cs="Arial"/>
          <w:sz w:val="22"/>
        </w:rPr>
        <w:t>69 година, служи се једним страним језиком, око 60% користи два језика, док на три или више страних језика може да комуницира око 42% испитаника. Највише испитаника користи енглески језик, затим руски, немачки, француски и мађарски. Посматрано према нивоу стеченог образовања и радном статусу, подаци показују да у целоживотном образовању најчешће учествују и жене и мушкарци који су запослени и имају завршену средњу школу (ибид.).</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Поред наведених анкета, током 2021. године, први пут у Републици Србији спроведено је истраживање о континуираном стручном усавршавању и обукама </w:t>
      </w:r>
      <w:r>
        <w:rPr>
          <w:rFonts w:ascii="Arial" w:eastAsia="Verdana" w:hAnsi="Arial" w:cs="Arial"/>
          <w:sz w:val="22"/>
        </w:rPr>
        <w:t>-</w:t>
      </w:r>
      <w:r w:rsidRPr="001D4868">
        <w:rPr>
          <w:rFonts w:ascii="Arial" w:eastAsia="Verdana" w:hAnsi="Arial" w:cs="Arial"/>
          <w:sz w:val="22"/>
        </w:rPr>
        <w:t xml:space="preserve"> КСУО (Continuing Vocational Training Survey </w:t>
      </w:r>
      <w:r>
        <w:rPr>
          <w:rFonts w:ascii="Arial" w:eastAsia="Verdana" w:hAnsi="Arial" w:cs="Arial"/>
          <w:sz w:val="22"/>
        </w:rPr>
        <w:t>-</w:t>
      </w:r>
      <w:r w:rsidRPr="001D4868">
        <w:rPr>
          <w:rFonts w:ascii="Arial" w:eastAsia="Verdana" w:hAnsi="Arial" w:cs="Arial"/>
          <w:sz w:val="22"/>
        </w:rPr>
        <w:t xml:space="preserve"> CVTS). Наведеним истраживањем прикупљају се информације о улагањима предузећа у сталну стручну обуку његових запослених. Континуирано стручно усавршавање (у даљем тексту: КСУО) и обука се односи на мере или активности образовања и обуке које у целости, или бар делимично, финансира предузеће (директно или индиректно) и пружа упоредиве податке о стручној обуци у предузећима са најмање 10 или више запослених лица која припадају одређеној групи привредне делатности (Истраживање о континуираном стручном усавршавању и обукама </w:t>
      </w:r>
      <w:r>
        <w:rPr>
          <w:rFonts w:ascii="Arial" w:eastAsia="Verdana" w:hAnsi="Arial" w:cs="Arial"/>
          <w:sz w:val="22"/>
        </w:rPr>
        <w:t>-</w:t>
      </w:r>
      <w:r w:rsidRPr="001D4868">
        <w:rPr>
          <w:rFonts w:ascii="Arial" w:eastAsia="Verdana" w:hAnsi="Arial" w:cs="Arial"/>
          <w:sz w:val="22"/>
        </w:rPr>
        <w:t xml:space="preserve"> КСУО, 2022).</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Према добијеним резултатима, скоро половина предузећа у Републици Србији (49,2%) спроводи неки облик континуираног стручног усавршавања за своје запослене, док (40,8%) предузећа учествује у КСУО. Посматрано према полу учесника, у обукама у свим предузећима која спроводе курсеве заступљеније су жене (40%) него мушкарци (35%). Жене предњаче и када се посматра према груписаним секторима делатности и величини предузећа. Просечни трошкови курсева у склопу КСУО у предузећима која спроводе обуке износе 45 евра по запосленом. Укупан удео трошкова за организацију семинара у односу на укупне трошкове рада износио је 19%. Удео предузећа која су учествовала у обукама у секторима Рударство, Прерађивачка индустрија, Снабдевање електричном енергијом, гасом, паром и климатизација, Снабдевање водом, управљање отпадним водама, контролисање процеса уклањања отпада и сличне активности износио je 49,2%, у сектору Грађевинарство 53,1%, сектори Трговина на велико и трговина на мало, Поправка моторних возила и мотоцикала, Саобраћај и складиштење и Услуге смештаја и исхране учествују са 41,2%, сектори Информисање и комуникације и Финансијске делатности и делатност осигурања са 65%, док сектори Пословање некретнинама, Стручне, научне, иновационе и техничке делатности, Административне и помоћне услужне делатности и Уметност, забава и рекреација учествују са 56,5% предузећа. Удео предузећа која су спровела неки вид обуке за своје запослене најмањи је код малих предузећа (43,4%), а највећи код средњих (66,1%). Учешће предузећа на курсевима износи око 41% од укупног броја предузећа. Укупан удео сати проведених на КСУО у односу на укупан број сати по запосленом у предузећима износи 15%. Највеће учешће по броју сати проведених на курсевима имају предузећа из сектора делатности Информисање и комуникације и Финансијске делатности и делатност осигурања, 31%, затим делатности Рударство, Прерађивачка индустрија, Снабдевање електричном енергијом, гасом, паром и климатизација и Снабдевање водом, управљање отпадним водама, контролисање процеса уклањања отпада и сличне активности </w:t>
      </w:r>
      <w:r>
        <w:rPr>
          <w:rFonts w:ascii="Arial" w:eastAsia="Verdana" w:hAnsi="Arial" w:cs="Arial"/>
          <w:sz w:val="22"/>
        </w:rPr>
        <w:t>-</w:t>
      </w:r>
      <w:r w:rsidRPr="001D4868">
        <w:rPr>
          <w:rFonts w:ascii="Arial" w:eastAsia="Verdana" w:hAnsi="Arial" w:cs="Arial"/>
          <w:sz w:val="22"/>
        </w:rPr>
        <w:t xml:space="preserve"> 29%. Најмање учешће сати проведених на курсевима имају предузећа која спадају у делатности Грађевинарство </w:t>
      </w:r>
      <w:r>
        <w:rPr>
          <w:rFonts w:ascii="Arial" w:eastAsia="Verdana" w:hAnsi="Arial" w:cs="Arial"/>
          <w:sz w:val="22"/>
        </w:rPr>
        <w:t>-</w:t>
      </w:r>
      <w:r w:rsidRPr="001D4868">
        <w:rPr>
          <w:rFonts w:ascii="Arial" w:eastAsia="Verdana" w:hAnsi="Arial" w:cs="Arial"/>
          <w:sz w:val="22"/>
        </w:rPr>
        <w:t xml:space="preserve"> 3% и Трговина на велико и трговина на мало, Поправка моторних </w:t>
      </w:r>
      <w:r w:rsidRPr="001D4868">
        <w:rPr>
          <w:rFonts w:ascii="Arial" w:eastAsia="Verdana" w:hAnsi="Arial" w:cs="Arial"/>
          <w:sz w:val="22"/>
        </w:rPr>
        <w:lastRenderedPageBreak/>
        <w:t>возила и мотоцикала, Саобраћај и складиштење и Услуге смештаја и исхране, 6%. Највећа улагања у КСУО била су у секторима Информисање и комуникације и Финансијским делатностима и осигурању. Директни трошкови износили су око 70 евра по запосленом, док су трошкови рада износили преко 110 евра по запосленом који је учествовао у КСУО. Највише средстава по запосленом су у КСУО улагала мала предузећа. Њихови директни трошкови износили су око 86 евра по запосленом, док су трошкови рада износили преко 105 евра по запосленом који је учествовао у КСУО.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Посматрано из угла система образовања одраслих и целоживотног учења, од значаја је истаћи и резултате Анкете о радној снази (у даљем тексту: АРС) </w:t>
      </w:r>
      <w:r>
        <w:rPr>
          <w:rFonts w:ascii="Arial" w:eastAsia="Verdana" w:hAnsi="Arial" w:cs="Arial"/>
          <w:sz w:val="22"/>
        </w:rPr>
        <w:t>-</w:t>
      </w:r>
      <w:r w:rsidRPr="001D4868">
        <w:rPr>
          <w:rFonts w:ascii="Arial" w:eastAsia="Verdana" w:hAnsi="Arial" w:cs="Arial"/>
          <w:sz w:val="22"/>
        </w:rPr>
        <w:t xml:space="preserve"> Модул о радним вештинама коју је РЗС спровео у 2022. години. Прикључивање Модула о радним вештинама редовном АРС истраживању има за циљ добијање информација о употреби вештина на послу. Упитник је унапред дефинисан Евростатовом методологијом, са основним циљем да се утврди одговарајућа расподела утрошеног времена потребног за извршење одређених радних задатака, а кроз различите аспекте пословних вештина, као што су: употреба дигиталних уређаја, ангажовање у физички захтевним задацима, обављање прецизних задатака прстима, рад на релативно компликованим прорачунима, читање докумената у вези са послом и других (Анкете о радној снази </w:t>
      </w:r>
      <w:r>
        <w:rPr>
          <w:rFonts w:ascii="Arial" w:eastAsia="Verdana" w:hAnsi="Arial" w:cs="Arial"/>
          <w:sz w:val="22"/>
        </w:rPr>
        <w:t>-</w:t>
      </w:r>
      <w:r w:rsidRPr="001D4868">
        <w:rPr>
          <w:rFonts w:ascii="Arial" w:eastAsia="Verdana" w:hAnsi="Arial" w:cs="Arial"/>
          <w:sz w:val="22"/>
        </w:rPr>
        <w:t xml:space="preserve"> Модул о радним вештинама, 2022).</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Резултати Анкете </w:t>
      </w:r>
      <w:r>
        <w:rPr>
          <w:rFonts w:ascii="Arial" w:eastAsia="Verdana" w:hAnsi="Arial" w:cs="Arial"/>
          <w:sz w:val="22"/>
        </w:rPr>
        <w:t>-</w:t>
      </w:r>
      <w:r w:rsidRPr="001D4868">
        <w:rPr>
          <w:rFonts w:ascii="Arial" w:eastAsia="Verdana" w:hAnsi="Arial" w:cs="Arial"/>
          <w:sz w:val="22"/>
        </w:rPr>
        <w:t xml:space="preserve"> Модул о радним вештинама указују да је у 2022. години, најчешће коришћена радна вештина била </w:t>
      </w:r>
      <w:r>
        <w:rPr>
          <w:rFonts w:ascii="Arial" w:eastAsia="Verdana" w:hAnsi="Arial" w:cs="Arial"/>
          <w:sz w:val="22"/>
        </w:rPr>
        <w:t>"</w:t>
      </w:r>
      <w:r w:rsidRPr="001D4868">
        <w:rPr>
          <w:rFonts w:ascii="Arial" w:eastAsia="Verdana" w:hAnsi="Arial" w:cs="Arial"/>
          <w:sz w:val="22"/>
        </w:rPr>
        <w:t>Комуникација са лицима из истог предузећа или организације</w:t>
      </w:r>
      <w:r>
        <w:rPr>
          <w:rFonts w:ascii="Arial" w:eastAsia="Verdana" w:hAnsi="Arial" w:cs="Arial"/>
          <w:sz w:val="22"/>
        </w:rPr>
        <w:t>"</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Готово 90% свих испитаника (било да су запослени или су тренутно без посла) улазе у усмену пословну комуникацију са колегама током радног времена </w:t>
      </w:r>
      <w:r>
        <w:rPr>
          <w:rFonts w:ascii="Arial" w:eastAsia="Verdana" w:hAnsi="Arial" w:cs="Arial"/>
          <w:sz w:val="22"/>
        </w:rPr>
        <w:t>-</w:t>
      </w:r>
      <w:r w:rsidRPr="001D4868">
        <w:rPr>
          <w:rFonts w:ascii="Arial" w:eastAsia="Verdana" w:hAnsi="Arial" w:cs="Arial"/>
          <w:sz w:val="22"/>
        </w:rPr>
        <w:t xml:space="preserve"> у распону од мањег сегмента радног времена до целог радног дана. Са лицима изван предузећа или организације комуницира приближно 70% свих испитаника у различитим пропорцијама радног времена. Скоро 60% испитаника изјавило је да се бави тешким физичким радом, од чега 26% половину радног времена и више, а 31% мање од половине радног времена. Остале вештине биле су много мање у употреби, при чему су се сложене калкулације најмање користиле. Само 20% испитаника користило је ову вештину у неком опсегу, при чему половина њих у ограниченом делу радног дана (до 25% свог радног времена). Употреба социјалних вештина предњачи код оба пола, па се 29% испитаника и 42% испитаница изјаснило да ове вештине користи у већем делу свог радног времена, док је свега 3% испитаника и скоро 4% испитаница изјавило да социјалне вештине не користи уопште. Мануелне вештине су заступљене у већем делу радног времена код мушких испитаника са 23% и женских са 18%, док 33% мушкараца и 45% жена не користи мануелне вештине у току свог радног дана. Когнитивне вештине су најмање заступљене, па их више од половине испитаника оба пола уопште не користи (54% мушкараца и 53% жена). Резултати истраживања показују да степен аутономије пропорционално расте са годинама старости испитаника, односно да већи број старијих испитаника сматра да има потпуну (или бар делимичну) слободу у одређивању редоследа и садржаја својих радних задатака у односу на своје млађе колеге (приказ у одељку: резултати). Знатне разлике у степену самосталности у одлучивању на послу приметне су у односу на статус запосленог лица. Око половине лица која имају приватну праксу или бизнис, без обзира на то да ли запошљавају раднике или не, остварују потпуну слободу и у садржају и у редоследу обављања својих радних задатака (од 43% до 53%). За разлику од њих, запослени радници остварују свега 10,5% потпуне слободе у садржају и 14,3% у редоследу, док је тај проценат нешто виши у случају неплаћених породичних радника (28,6% потпуне слободе у садржају и 34,9% у редоследу). Резултати показују да испитаници у оквиру обављања својих свакодневних радних задатака имају доста или умерено понављања, док је само 5% њих навело да репетитивности истих задатака нема уопште. Већина испитаника који су се изјаснили да им се већина задатака понавља налази се у групи занимања Руковаоци машинама и постројењима, монтери и возачи, Услужна и трговачка занимања, као и у групи Једноставних занимања. Највећи проценат испитаника на чијем главном послу има веома мало или нема нимало понављања радних задатака налази се у групи Стручњаци и уметници (скоро 30% веома мало понављања и око 18% нимало понављања). Степен стандардизације је готово равномерно распоређен према понуђеној скали одговора, па тако 15% испитаника наводи да је већина послова које обављају прецизно описана строгим процедурама, док, на другој страни, 24% запослених наводи да нема послова који су описани строгим процедурама. Значајније разлике су приметне уколико се одговори посматрају према групама у статусу запослених лица или другим сегрегацијама (приказ у одељку: резултати).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Поред анкетних података, податке о партиципацији одраслих у програме формалног и неформалног образовања и обучавања прикупља и Министартсво просвете припремајући ГПОО где поред плана за наредну годину, документ садржи и податке о реализацији активности образовања одраслих у претходној години.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Значајан инструмент праћења партиципације одраслих је и Јединствени информациони систем просвете (у даљем тексту: ЈИСП) који је у потпуности функционалан, али који и даље не садржи све податке релевантне за систем образовања одраслих. Према расположивим подацима из ЈИСП у програме неформалног образовања одраслих код акредитованих провајдера у периоду од успостављања ЈИСП до сада укључено је 8.246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Последњи званични подаци којима се може описати образовна структура одрасле популације у Републици Србији су добијени Пописом становништва у Србији 2022. године. Према резултатима поменутог Пописа, више од половине становништва старости 15 и више година завршило је средњу школу (53,1%), основну (осмогодишњу) школу је завршило 17,8% становника, вишу или високу школе стекло је 22,4% лица, док је 6,3% становника без школе или је завршило мање од осам разреда основне школе. Може се констатовати значајан напредак у образовној структури грађанства на свим нивоима формалног образовања, уколико резултате Пописа из 2022. године, упоредимо са резултатима Пописа из 2011. године: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Број лица без завршеног основног образовања се преполовио (са 13,6% у 2011. на 6,3% у 2022. години);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Смањен је број лица са завршеном осмогодишњом основном школом као највишим образовањем (са 20,76% на 17,8%);</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Повећан је број особа са завршеном средњом школом као највишим нивоом образовања (са 48,93% на 53,1%);</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Повећан је број особа са завршеном високом или вишом школе (са 16,24 на 22,4%).</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Иако има разлога за задовољство, нема разлога за опуштање: Република Србија је још увек далеко од 40% високообразованих грађана, колико је ЕУ себи поставила као циљ стратегијом Европа 2020, а демографски трендови нам не иду у прилог по овом питању, јер је међу мигрантима, грађанима Републике Србије, значајан број оних са високим образовањем. Претпостављамо да би удео високообразованих био већи у популацији да није негативних демографских трендова одласка из земље управо особа са највишим образовањем. Интересантан је податак да за разлику од већег дела светске популације, у којем мушкарци процентуално имају више образовање у односу на женску популацију, у Републици Србији је супротно стање: у целокупној популацији високообразоване жене предњаче у односу на мушкарце са 24,03% према 20,73%.</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Из представљених података добијених Пописом можемо видети да највећи број одраслих грађана Републике Србије има, као највиши степен свога формалног образовања средњошколско образовање, али би и тај проценат могао лако да буде већи. Наиме, концепција ЈПОА која се већи низ година реализује у Републици Србији и која за сада резултира могућношћу стицања квалификације на другом, трећем и петом нивоу НОКС-а, али не и могућношћу да се на поменутим нивоима достигне ниво образовања. Ова могућност ће бити реализована када се унапреди легислативни оквир по овом питању и када се креирају и акредитују програми који разултирају образовним исходима везаним за опште образовање.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Што се тиче броја неписмених у Републици Србији, следећи методолошку препоруку да се писменим сматра свака особа старија од 10 година која је завршила четири разреда основне школе долазимо до податка да у Републици Србији има мање од 38 000 неписмених, односно, 0,63% одрасле популације. Али, ако говоримо о функционално неписменим особама, можемо у тај број урачунати бар све оне који нису завршили основну школу, којих према Попису из 2022. године, има 6,28%.</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Дигиталне компетенције су једна од кључних компетенција ЕУ, а представљају основу за свако даље учење, образовање и развој. Може се констатовати да је у међупописном периоду, удео компјутерски писмених лица у укупном становништву старости 15 и више година порастао је са 34,21% (Попис 2011) на 45,73% (Попис 2022). Ови подаци указују на повећање удела дигитално писмених одраслих људи у укупној популацији, али не онолико колико бисмо могли очекивати с обзиром на резултате истраживања који су спроведени у 2022. години, а тичу се коришћења рачунара и интернета. Наиме, 75,9% грађана Републике Србије је 2022. године, изјавило да су у последњих три месеца користили рачунар, а чак 83,5% грађана Републике Србије је током последњих три месеца користило интернет. Очигледно је да се дигитални захтеви за партиципацију у савременом друштву свакодневно повећавају, па је и повећан ниво компетенције који је потребан да би неко себе могао сматрати компјутерски писменим. Најугроженија по овом основу је популација старих: према истраживању из 2022. године, 30,2% испитаника из ове категорије је </w:t>
      </w:r>
      <w:r w:rsidRPr="001D4868">
        <w:rPr>
          <w:rFonts w:ascii="Arial" w:eastAsia="Verdana" w:hAnsi="Arial" w:cs="Arial"/>
          <w:sz w:val="22"/>
        </w:rPr>
        <w:lastRenderedPageBreak/>
        <w:t>користило рачунар, а 40,8% испитаника је користило интернет. Ово су сигурно трендови који ће се наставити и у будућности и на шта треба смислити одржив одговор.</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Информалном учењу се у Европи, са јачањем концепције целоживотног образовања, поклања све већа пажња, нарочито кроз развијање концепције, праксе и инструмената за валидацију и признавање претходног учења. ППУ је алтернативни начин за стицање квалификације </w:t>
      </w:r>
      <w:r>
        <w:rPr>
          <w:rFonts w:ascii="Arial" w:eastAsia="Verdana" w:hAnsi="Arial" w:cs="Arial"/>
          <w:sz w:val="22"/>
        </w:rPr>
        <w:t>-</w:t>
      </w:r>
      <w:r w:rsidRPr="001D4868">
        <w:rPr>
          <w:rFonts w:ascii="Arial" w:eastAsia="Verdana" w:hAnsi="Arial" w:cs="Arial"/>
          <w:sz w:val="22"/>
        </w:rPr>
        <w:t xml:space="preserve"> за оно што неко већ зна, а што је научио ван формалног система образовања. Поступак ППУ представља могућност да се </w:t>
      </w:r>
      <w:r w:rsidRPr="001D4868">
        <w:rPr>
          <w:rFonts w:ascii="Arial" w:eastAsia="Verdana" w:hAnsi="Arial" w:cs="Arial"/>
          <w:b/>
          <w:sz w:val="22"/>
        </w:rPr>
        <w:t xml:space="preserve">препознају, процене и признају знања и вештине стечене кроз различите обуке, животно и радно искуство, </w:t>
      </w:r>
      <w:r w:rsidRPr="001D4868">
        <w:rPr>
          <w:rFonts w:ascii="Arial" w:eastAsia="Verdana" w:hAnsi="Arial" w:cs="Arial"/>
          <w:sz w:val="22"/>
        </w:rPr>
        <w:t>и да се за тако призната знања и вештине добије уверење о стеченим компетенцијама или сертификат којим се потврђује стечена квалификација. На овај начин могуће је стицање квалификација на II, III и V нивоу НОКС-а.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Од релативно новијих истраживања можемо издвојити Истраживање о сталном стручном усавршавању (</w:t>
      </w:r>
      <w:r w:rsidRPr="001D4868">
        <w:rPr>
          <w:rFonts w:ascii="Arial" w:eastAsia="Verdana" w:hAnsi="Arial" w:cs="Arial"/>
          <w:i/>
          <w:sz w:val="22"/>
        </w:rPr>
        <w:t xml:space="preserve">Continuing Vocational Training Survey </w:t>
      </w:r>
      <w:r>
        <w:rPr>
          <w:rFonts w:ascii="Arial" w:eastAsia="Verdana" w:hAnsi="Arial" w:cs="Arial"/>
          <w:i/>
          <w:sz w:val="22"/>
        </w:rPr>
        <w:t>-</w:t>
      </w:r>
      <w:r w:rsidRPr="001D4868">
        <w:rPr>
          <w:rFonts w:ascii="Arial" w:eastAsia="Verdana" w:hAnsi="Arial" w:cs="Arial"/>
          <w:i/>
          <w:sz w:val="22"/>
        </w:rPr>
        <w:t xml:space="preserve"> CVTS) </w:t>
      </w:r>
      <w:r w:rsidRPr="001D4868">
        <w:rPr>
          <w:rFonts w:ascii="Arial" w:eastAsia="Verdana" w:hAnsi="Arial" w:cs="Arial"/>
          <w:sz w:val="22"/>
        </w:rPr>
        <w:t>које је први пут спроведено у Републици Србији 2021. године. Према добијеним резултатима, скоро половина предузећа у Републици Србији (49,2%) спроводи неки облик континуираног стручног усавршавања својих запослених, док запослени у 40,8% предузећа похађају обуке из овог домена образовања одраслих, које организују други провајдери. Што се тиче пола полазника обука, у свим компанијама које их спроводе, жене су заступљеније (40%) него мушкарци (35%). Просечна цена обука сталног стручног усавршавања у компанијама које спроводе обуке је 45 евра по запосленом. Укупно учешће трошкова за организацију обука у односу на укупне трошкове рада износило је 19%. Удео предузећа која су спровела неку врсту обуке за своје запослене је најмањи међу малим предузећима (43,4%), а највећи међу средњим и износи 66,1%.</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На крају прегледа трендова образовања одраслих у Републици Србији, вреди споменути значајне активности образовања одраслих које континуирано спроводи НАЈУ. Делатност Истраживачког центра НАЈУ у саставу Сектора за припрему програма обука и управљања квалитетом, кроз планиране активности за 2025. годину, наставља да се бави истраживачким активностима, између осталог и сагледавањем трендова уобразовању одраслих у циљу унапређење система јавне управе, као и анализом ефеката обука у процесу спровођења стручног усавршавања кроз истраживања која спроводи уз помоћ пројектне подршке, као и приоритизацијом програмских области годишњих програма обука, како на централном, тако и на локалном нивоу. У фокусу су модернизација процеса стручног усавршавања службеника коришћењем нових технологија и активности (VR учење) ради увођењаиновација у јавној управи</w:t>
      </w:r>
      <w:r w:rsidRPr="001D4868">
        <w:rPr>
          <w:rFonts w:ascii="Arial" w:eastAsia="Verdana" w:hAnsi="Arial" w:cs="Arial"/>
          <w:b/>
          <w:sz w:val="22"/>
        </w:rPr>
        <w:t xml:space="preserve">. </w:t>
      </w:r>
      <w:r w:rsidRPr="001D4868">
        <w:rPr>
          <w:rFonts w:ascii="Arial" w:eastAsia="Verdana" w:hAnsi="Arial" w:cs="Arial"/>
          <w:sz w:val="22"/>
        </w:rPr>
        <w:t>У сарадњи са Министарством унутрашњих послова и Министарством одбране у оквиру годишњих програма обука НАЈУ за 2025. годину, посебно је развијена и област Национална безбедност и безбедносна архитектура, као и ревизија области Заштите људских права, са посебним освртом на тајност података са Канцеларијом Савета за националну безбедност, како за национални, тако и иновирање програмске области на локалном нивоу у сарадњи са ГИЗ пројектом у области интерсекцијске дискриминације у раду ЈЛС, као и област службеничке етике програмски за централни ниво.</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b/>
          <w:sz w:val="22"/>
        </w:rPr>
        <w:t xml:space="preserve">2. Трендови у запошљавању </w:t>
      </w:r>
      <w:r w:rsidRPr="001D4868">
        <w:rPr>
          <w:rFonts w:ascii="Arial" w:eastAsia="Verdana" w:hAnsi="Arial" w:cs="Arial"/>
          <w:b/>
          <w:sz w:val="22"/>
        </w:rPr>
        <w:br/>
        <w:t>и на тржишту рада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Демографски и миграторни трендови и континуирано старење становништва Републике Србије, вишегодишњи процес трансформације и транзиције економије, као и пратећи реформски процеси усмерени ка обезбеђивању макроекономске стабилности, повећању конкурентности економије, односно привредне и инвестиционе активности и прилагођавању динамичним токовима тржишта капитала, утичу на стање и токове на тржишту рада.</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Демографска кретања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Према резултатима </w:t>
      </w:r>
      <w:r w:rsidRPr="001D4868">
        <w:rPr>
          <w:rFonts w:ascii="Arial" w:eastAsia="Verdana" w:hAnsi="Arial" w:cs="Arial"/>
          <w:b/>
          <w:sz w:val="22"/>
        </w:rPr>
        <w:t>Пописа становништва, домаћинстава и станова 2022. година</w:t>
      </w:r>
      <w:r w:rsidRPr="001D4868">
        <w:rPr>
          <w:rFonts w:ascii="Arial" w:eastAsia="Verdana" w:hAnsi="Arial" w:cs="Arial"/>
          <w:sz w:val="22"/>
        </w:rPr>
        <w:t>, становништво Републике Србије чини 6.647.003 лица (3.231.978 мушкараца и 3.415.025 жена, односно удео износи 48,6% и 51,4% респективно).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оквиру укупног броја становника, 2.401.690 лица је запослено (1.287.053 мушкарца и 1.114.637 жена), односно изјаснило се да су у седмици која је претходила попису бар један сат обављали било какав плаћени посао или су радили као помажући чланови у породичном послу који доноси приход, или су имали плаћени посао са којег су у седмици пред попис одсуствовали због боловања, годишњег одмора или из неког другог разлога, а на који ће се вратити након истека одсуства.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контингент незапослених сврстано је укупно 402.831 лице </w:t>
      </w:r>
      <w:r w:rsidRPr="001D4868">
        <w:rPr>
          <w:rFonts w:ascii="Arial" w:eastAsia="Verdana" w:hAnsi="Arial" w:cs="Arial"/>
          <w:i/>
          <w:sz w:val="22"/>
        </w:rPr>
        <w:t>(220 451 мушкарац и 182 380 жена)</w:t>
      </w:r>
      <w:r w:rsidRPr="001D4868">
        <w:rPr>
          <w:rFonts w:ascii="Arial" w:eastAsia="Verdana" w:hAnsi="Arial" w:cs="Arial"/>
          <w:sz w:val="22"/>
        </w:rPr>
        <w:t xml:space="preserve">, односно лица која су изјавила да су током септембра 2022. године, активно тражила посао или </w:t>
      </w:r>
      <w:r w:rsidRPr="001D4868">
        <w:rPr>
          <w:rFonts w:ascii="Arial" w:eastAsia="Verdana" w:hAnsi="Arial" w:cs="Arial"/>
          <w:sz w:val="22"/>
        </w:rPr>
        <w:lastRenderedPageBreak/>
        <w:t>покушавала да започну самостални посао, и која су изјавила да могу да почну да раде у наредне две седмице ако би им посао био понуђен.</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Табела број 1. Становништво према економској активности и полу</w:t>
      </w:r>
    </w:p>
    <w:tbl>
      <w:tblPr>
        <w:tblW w:w="4950" w:type="pct"/>
        <w:tblInd w:w="10" w:type="dxa"/>
        <w:tblCellMar>
          <w:left w:w="10" w:type="dxa"/>
          <w:right w:w="10" w:type="dxa"/>
        </w:tblCellMar>
        <w:tblLook w:val="0000" w:firstRow="0" w:lastRow="0" w:firstColumn="0" w:lastColumn="0" w:noHBand="0" w:noVBand="0"/>
      </w:tblPr>
      <w:tblGrid>
        <w:gridCol w:w="3340"/>
        <w:gridCol w:w="3465"/>
        <w:gridCol w:w="1133"/>
        <w:gridCol w:w="1277"/>
        <w:gridCol w:w="1067"/>
      </w:tblGrid>
      <w:tr w:rsidR="001D4868" w:rsidRPr="001D4868" w:rsidTr="001D4868">
        <w:tblPrEx>
          <w:tblCellMar>
            <w:top w:w="0" w:type="dxa"/>
            <w:bottom w:w="0" w:type="dxa"/>
          </w:tblCellMar>
        </w:tblPrEx>
        <w:tc>
          <w:tcPr>
            <w:tcW w:w="3309" w:type="pct"/>
            <w:gridSpan w:val="2"/>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Укупно</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Мушкарци</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Жене</w:t>
            </w:r>
          </w:p>
        </w:tc>
      </w:tr>
      <w:tr w:rsidR="001D4868" w:rsidRPr="001D4868" w:rsidTr="001D4868">
        <w:tblPrEx>
          <w:tblCellMar>
            <w:top w:w="0" w:type="dxa"/>
            <w:bottom w:w="0" w:type="dxa"/>
          </w:tblCellMar>
        </w:tblPrEx>
        <w:tc>
          <w:tcPr>
            <w:tcW w:w="3309" w:type="pct"/>
            <w:gridSpan w:val="2"/>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РЕПУБЛИКА СРБИЈА</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6 647 003</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3 231 978</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3 415 025</w:t>
            </w:r>
          </w:p>
        </w:tc>
      </w:tr>
      <w:tr w:rsidR="001D4868" w:rsidRPr="001D4868" w:rsidTr="001D4868">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Економски активно становништво (радна снага)</w:t>
            </w: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Укупно</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2 804 521</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1 507 504</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1 297 017</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Запослени</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2 401 690</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1 287 053</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1 114 637</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Незапослени</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402 831</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220 451</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 xml:space="preserve"> 182 380</w:t>
            </w:r>
          </w:p>
        </w:tc>
      </w:tr>
      <w:tr w:rsidR="001D4868" w:rsidRPr="001D4868" w:rsidTr="001D4868">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Економски неактивно становништво</w:t>
            </w: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Укупно</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3 842 482</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1 724 474</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2 118 008</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Деца млађа од 15 година</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955 452</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 xml:space="preserve"> 492 239</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 xml:space="preserve"> 463 213</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Ученици и студенти (15+ година)</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433 344</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201 312</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232 032</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Пензионери</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1 592 567</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694 653</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897 914</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Лица са приходима од имовине или инвестиција</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19 125</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13 519</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5 606</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Лица која се баве производњом добара за потребе свог домаћинства</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84 129</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65 648</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18 481</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Лица која обављају неплаћене кућне послове у свом домаћинству</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459 344</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73 485</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385 859</w:t>
            </w:r>
          </w:p>
        </w:tc>
      </w:tr>
      <w:tr w:rsidR="001D4868" w:rsidRPr="001D4868" w:rsidTr="001D4868">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1685"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Остала лица и непознато</w:t>
            </w:r>
          </w:p>
        </w:tc>
        <w:tc>
          <w:tcPr>
            <w:tcW w:w="55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298 521</w:t>
            </w:r>
          </w:p>
        </w:tc>
        <w:tc>
          <w:tcPr>
            <w:tcW w:w="621"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183 618</w:t>
            </w:r>
          </w:p>
        </w:tc>
        <w:tc>
          <w:tcPr>
            <w:tcW w:w="519" w:type="pc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114 903</w:t>
            </w:r>
          </w:p>
        </w:tc>
      </w:tr>
    </w:tbl>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РЗ</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Контингент економски неактивног становништва чини 3.842.482 лица </w:t>
      </w:r>
      <w:r w:rsidRPr="001D4868">
        <w:rPr>
          <w:rFonts w:ascii="Arial" w:eastAsia="Verdana" w:hAnsi="Arial" w:cs="Arial"/>
          <w:i/>
          <w:sz w:val="22"/>
        </w:rPr>
        <w:t>(1.724.474 мушкарца и 2.118.008 жена)</w:t>
      </w:r>
      <w:r w:rsidRPr="001D4868">
        <w:rPr>
          <w:rFonts w:ascii="Arial" w:eastAsia="Verdana" w:hAnsi="Arial" w:cs="Arial"/>
          <w:sz w:val="22"/>
        </w:rPr>
        <w:t>, међу којима је највише пензионера (близу 1,6 милиона), следе деца млађа од 15 година (955.452 детета), затим лица која обављају неплаћене кућне послове у свом домаћинству (око 459.344 лица) и ученици/студенти старости 15 и више година (433.344 лица).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Према проценама РЗС, представљених у публикацији </w:t>
      </w:r>
      <w:r w:rsidRPr="001D4868">
        <w:rPr>
          <w:rFonts w:ascii="Arial" w:eastAsia="Verdana" w:hAnsi="Arial" w:cs="Arial"/>
          <w:b/>
          <w:sz w:val="22"/>
        </w:rPr>
        <w:t>Пројекције становништва Републике Србије 2022‒2052</w:t>
      </w:r>
      <w:r w:rsidRPr="001D4868">
        <w:rPr>
          <w:rFonts w:ascii="Arial" w:eastAsia="Verdana" w:hAnsi="Arial" w:cs="Arial"/>
          <w:sz w:val="22"/>
          <w:vertAlign w:val="superscript"/>
        </w:rPr>
        <w:t>1</w:t>
      </w:r>
      <w:r w:rsidRPr="001D4868">
        <w:rPr>
          <w:rFonts w:ascii="Arial" w:eastAsia="Verdana" w:hAnsi="Arial" w:cs="Arial"/>
          <w:sz w:val="22"/>
        </w:rPr>
        <w:t>, у 2052. години, Република Србија ће имати 5,2 милиона становника, што је смањење за око 1,5 милиона у односу на 2022. годину. Смањење величине популације ће се одвијати под доминантним утицајем негативног природног прираштаја (у просеку 86%).</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Радно способно становништво ће се у апсолутном износу смањити са 4,3 милиона у 2022. години, на 3 милиона у 2052. години, односно удео радно способног становништва Републике Србије у укупном становништву смањиваће се током пројекционог периода са 63,7% на 57,9%. Такође, очекује се значајно повећање</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 Средњи сценарио, пројектовани број становника по петогодишњим старосним групама и полу. Подаци су приказани по регионима, областима, општинама и градовима, према административно-територијалној подели Републике Србије важећој на дан 1. јула 2022. године. Базна популација, односно број и старосно-полна структура становништва процењени су за почетну годину пројекционог периода, на основу података из Пописа становништва 2022. године, као и резултата истраживања о рођенима, умрлима и унутрашњим миграцијама у тој години. ARS 18.10.2024. годину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коефицијента укупне старосне зависности становништва (однос издржаваних и радно способних лица) у наредне три деценије. У 2022. години, било је око 57 издржаваних лица на 100 становника старости 15‒64 године. Према пројекцијама, до 2052. године, коефицијент укупне зависности ће се повећати на 73%.</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Миграторна кретања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Република Србија је емиграциона земља, али као и многе друге државе не поседује потпуне евиденције о лицима која емигрирају из земље, те су у </w:t>
      </w:r>
      <w:r w:rsidRPr="001D4868">
        <w:rPr>
          <w:rFonts w:ascii="Arial" w:eastAsia="Verdana" w:hAnsi="Arial" w:cs="Arial"/>
          <w:b/>
          <w:sz w:val="22"/>
        </w:rPr>
        <w:t>Миграционом профилу за 2023. годину,</w:t>
      </w:r>
      <w:r w:rsidRPr="001D4868">
        <w:rPr>
          <w:rFonts w:ascii="Arial" w:eastAsia="Verdana" w:hAnsi="Arial" w:cs="Arial"/>
          <w:sz w:val="22"/>
          <w:vertAlign w:val="superscript"/>
        </w:rPr>
        <w:t>2</w:t>
      </w:r>
      <w:r w:rsidRPr="001D4868">
        <w:rPr>
          <w:rFonts w:ascii="Arial" w:eastAsia="Verdana" w:hAnsi="Arial" w:cs="Arial"/>
          <w:sz w:val="22"/>
        </w:rPr>
        <w:t xml:space="preserve"> коришћени подаци Еуростата који државе чланице ЕУ објављују о броју имиграната у текућој години. Од укупно 573.952 држављана Републике Србије, који су на крају 2022. године, имали важеће боравишне дозволе, највећи број њих је боравило у Немачкој (41,03%) и Аустрији (18,67%). Када посматрамо број издатих боравишних дозвола које су први пут издате држављанима Републике Србије у 2022. години, највећи број њих је издат у Немачкој, Хрватској и Аустрији</w:t>
      </w:r>
      <w:r w:rsidRPr="001D4868">
        <w:rPr>
          <w:rFonts w:ascii="Arial" w:eastAsia="Verdana" w:hAnsi="Arial" w:cs="Arial"/>
          <w:sz w:val="22"/>
          <w:vertAlign w:val="superscript"/>
        </w:rPr>
        <w:t>3</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Када је у питању запошљавање држављана Републике Србије и упућивање запослених држављана на рад у иностранство, на основу извештаја агенција за запошљавање у 2023. години, се запослило 432 држављана Републике Србије код иностраних послодаваца. Земље дестинације: СР Немачка, Чешка. Мађарска, Словачка, Словенија, Босна и Херцеговина и др. Према подацима Централног регистра обавезног социјалног осигурања за 2023. годину, 725 послодаваца из Републике Србије је упутило укупно 6.809 запослених на привремени рад у 96 земаља. Међу упућеним запосленима претежно су запослени у радном односу на одређено време (5.629), мушког пола (6.215), старости од 41 до 65 година живота (3.553). Највише запослених упућено је на привремени рад у СР Немачку (4.444), Црну Гору (274), Руску Федерацију (188), Италију (166), Аустрију (141) и Француску (124). За деташманску 2022</w:t>
      </w:r>
      <w:r>
        <w:rPr>
          <w:rFonts w:ascii="Arial" w:eastAsia="Verdana" w:hAnsi="Arial" w:cs="Arial"/>
          <w:sz w:val="22"/>
        </w:rPr>
        <w:t>-</w:t>
      </w:r>
      <w:r w:rsidRPr="001D4868">
        <w:rPr>
          <w:rFonts w:ascii="Arial" w:eastAsia="Verdana" w:hAnsi="Arial" w:cs="Arial"/>
          <w:sz w:val="22"/>
        </w:rPr>
        <w:t>2023. годину, надлежни органи СР Немачке одобрили су квоту од 2.640 радних дозвола.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Имајући у виду тренд привредног раста Републике Србије, стабилност привреде, отварање нових фабрика, као и реализацију великих инфраструктурних пројеката, Република Србија је постала привлачна држава за инвестирање, укључујући и пратећу имиграцију. Посматрано у односу на претходну деценију, током 2023. године, рекордан број странаца је боравио у Републици Србији, међу којима су најбројнији страни држављани који бораве на основу рада, односно по основу ангажовања у ИТ сектору, као и странци који су ангажовани на реализацији инфраструктурних пројеката. Највећи број странаца доселио се из Руске Федерације (41.644) и НР Кине (12.157). Поред држављана Руске Федерације, држављани НР Кине традиционално се сврставају у најбројније имигранте, а затим држављани Турске и Индије. На крају 2023. године, 46.073 странаца је имало одобрен привремени боравак по основу рада. Овај број је за 29% већи у односу на 2022. годину, а чак за 121% већи у односу на 2021. годину, када је 20.828 странаца боравило у Републици Србији по овом основу, односно скоро три и по пута већи у односу на 2020. годину, када је 13.669 странаца боравило у Републици Србији по овом основу.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Унутрашња миграторна кретања такође су од важности за детаљно сагледавање стања и трендова на тржишту рада и у запошљавању. Према подацима Републичког завода за статистику</w:t>
      </w:r>
      <w:r w:rsidRPr="001D4868">
        <w:rPr>
          <w:rFonts w:ascii="Arial" w:eastAsia="Verdana" w:hAnsi="Arial" w:cs="Arial"/>
          <w:sz w:val="22"/>
          <w:vertAlign w:val="superscript"/>
        </w:rPr>
        <w:t>4</w:t>
      </w:r>
      <w:r w:rsidRPr="001D4868">
        <w:rPr>
          <w:rFonts w:ascii="Arial" w:eastAsia="Verdana" w:hAnsi="Arial" w:cs="Arial"/>
          <w:sz w:val="22"/>
        </w:rPr>
        <w:t>, током 2023. године, 145.843 лица променило је пребивалиште, односно трајно се преселило из једног у друго место (насеље) Републике Србије. Просечна старост лица која су променила пребивалиште је 36,1 година (за мушкарце 36,7 година, а за жене 35,6 година).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Посматрано по регионима Републике Србије, Београдски регион и Регион Војводине су у 2023. години, имали позитиван миграциони салдо. Посматрано на нивоу општина/градова, тек у 50 општина/градова је у 2023. години, позитиван миграциони</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 КИРС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 Како су последњи подаци на Еуростат-у објављени за 2022. годину, приказани подаци о броју емиграната односе се на 2022. годину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 Унутрашње миграције, 2023.</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салдо, док је у осталих 118 општина/градова миграциони салдо негативан. У периоду 2019</w:t>
      </w:r>
      <w:r>
        <w:rPr>
          <w:rFonts w:ascii="Arial" w:eastAsia="Verdana" w:hAnsi="Arial" w:cs="Arial"/>
          <w:sz w:val="22"/>
        </w:rPr>
        <w:t>-</w:t>
      </w:r>
      <w:r w:rsidRPr="001D4868">
        <w:rPr>
          <w:rFonts w:ascii="Arial" w:eastAsia="Verdana" w:hAnsi="Arial" w:cs="Arial"/>
          <w:sz w:val="22"/>
        </w:rPr>
        <w:t xml:space="preserve">2023. године, Београдски регион и Регион Војводине су остварили позитиван миграциони салдо, који у Београдском региону, на годишњем нивоу, износи просечно око 5 000 лица, док у Региону Војводине износи око 1 000 лица. Из Региона Шумадије и Западне Србије, у периоду од 2019. до 2023. године, константно је већи број одсељених у односу на досељена лица, што значи да овај </w:t>
      </w:r>
      <w:r w:rsidRPr="001D4868">
        <w:rPr>
          <w:rFonts w:ascii="Arial" w:eastAsia="Verdana" w:hAnsi="Arial" w:cs="Arial"/>
          <w:sz w:val="22"/>
        </w:rPr>
        <w:lastRenderedPageBreak/>
        <w:t>регион само на основу механичке компоненте (унутрашњих миграција), просечно годишње, губи око 3 500 становника. Регион Јужне и Источне Србије, у периоду од 2019. до 2023. године, има негативну вредност миграционог салда, који просечно годишње износи око 3 000, што утиче на смањење броја становника овог региона.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Са аспекта економске активности, 60,6% миграната су издржавана лица, 30,4% су активна лица, док је удео лица са личним приходом 9,0%.</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Макроекономска кретања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Република Србија је, упркос вишедимензионалној кризи, успела да сачува стабилност своје економије. Успешна координација монетарне и фискалне политике, као и доследно спровођење фискалне консолидације и структурно прилагођавање, повољно су утицали на побољшање пословног и инвестиционог амбијента о чему сведочи раст БДП-а који ће, закључно са 2024. годином, бити већи за преко 18%, у односу на ниво пре пандемије, рекордни приливи стране директне инвестиције (у даљем тексту: СДИ), наставак раста запослености и зарада у приватном сектору, као и највиши ниво девизних резерви до сада.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Као резултат </w:t>
      </w:r>
      <w:r>
        <w:rPr>
          <w:rFonts w:ascii="Arial" w:eastAsia="Verdana" w:hAnsi="Arial" w:cs="Arial"/>
          <w:sz w:val="22"/>
        </w:rPr>
        <w:t>"</w:t>
      </w:r>
      <w:r w:rsidRPr="001D4868">
        <w:rPr>
          <w:rFonts w:ascii="Arial" w:eastAsia="Verdana" w:hAnsi="Arial" w:cs="Arial"/>
          <w:sz w:val="22"/>
        </w:rPr>
        <w:t>велике ревизије БДП-а</w:t>
      </w:r>
      <w:r>
        <w:rPr>
          <w:rFonts w:ascii="Arial" w:eastAsia="Verdana" w:hAnsi="Arial" w:cs="Arial"/>
          <w:sz w:val="22"/>
        </w:rPr>
        <w:t>"</w:t>
      </w:r>
      <w:r w:rsidRPr="001D4868">
        <w:rPr>
          <w:rFonts w:ascii="Arial" w:eastAsia="Verdana" w:hAnsi="Arial" w:cs="Arial"/>
          <w:sz w:val="22"/>
        </w:rPr>
        <w:t>, која је спроведена за период 1995‒2023, стопа реалног раста БДП за 2023. годину, је ревидирана са 2,5% на 3,8%, док је номинални БДП ревидиран са 69,5 на 75,2 млрд евра. Пројекција раста БДП-а НБС за 2024. годину, износи 3,8%, док се у 2025. и 2026. године, очекује додатно убрзање раста на 4</w:t>
      </w:r>
      <w:r>
        <w:rPr>
          <w:rFonts w:ascii="Arial" w:eastAsia="Verdana" w:hAnsi="Arial" w:cs="Arial"/>
          <w:sz w:val="22"/>
        </w:rPr>
        <w:t>-</w:t>
      </w:r>
      <w:r w:rsidRPr="001D4868">
        <w:rPr>
          <w:rFonts w:ascii="Arial" w:eastAsia="Verdana" w:hAnsi="Arial" w:cs="Arial"/>
          <w:sz w:val="22"/>
        </w:rPr>
        <w:t xml:space="preserve">5%, у складу са новим инвестиционим циклусом повезаним са пројектом </w:t>
      </w:r>
      <w:r>
        <w:rPr>
          <w:rFonts w:ascii="Arial" w:eastAsia="Verdana" w:hAnsi="Arial" w:cs="Arial"/>
          <w:sz w:val="22"/>
        </w:rPr>
        <w:t>"</w:t>
      </w:r>
      <w:r w:rsidRPr="001D4868">
        <w:rPr>
          <w:rFonts w:ascii="Arial" w:eastAsia="Verdana" w:hAnsi="Arial" w:cs="Arial"/>
          <w:sz w:val="22"/>
        </w:rPr>
        <w:t xml:space="preserve">Скок у будућност </w:t>
      </w:r>
      <w:r>
        <w:rPr>
          <w:rFonts w:ascii="Arial" w:eastAsia="Verdana" w:hAnsi="Arial" w:cs="Arial"/>
          <w:sz w:val="22"/>
        </w:rPr>
        <w:t>-</w:t>
      </w:r>
      <w:r w:rsidRPr="001D4868">
        <w:rPr>
          <w:rFonts w:ascii="Arial" w:eastAsia="Verdana" w:hAnsi="Arial" w:cs="Arial"/>
          <w:sz w:val="22"/>
        </w:rPr>
        <w:t xml:space="preserve"> Србија Експо 2027</w:t>
      </w:r>
      <w:r>
        <w:rPr>
          <w:rFonts w:ascii="Arial" w:eastAsia="Verdana" w:hAnsi="Arial" w:cs="Arial"/>
          <w:sz w:val="22"/>
        </w:rPr>
        <w:t>"</w:t>
      </w:r>
      <w:r w:rsidRPr="001D4868">
        <w:rPr>
          <w:rFonts w:ascii="Arial" w:eastAsia="Verdana" w:hAnsi="Arial" w:cs="Arial"/>
          <w:sz w:val="22"/>
        </w:rPr>
        <w:t>. Захваљујући производној и географској диверсификацији и претежно извозно-оријентисаним инвестицијама, извоз робе и услуга Републике Србије показао је отпорност упркос смањењу тражње из ЕУ и региона и током осам месеци 2024. године, повећан је за 1,9% (у односу на 2023. годину), чему су допринели наставак раста извоза прерађивачке индустрије, опоравак извоза пољопривредних производа и раст извоза услуга. У осам месеци 2024. године, прилив СДИ износио је 3,2 млрд евра, док је нето прилив износио 2,9 млрд евра и у пуној мери покрио дефицит текућег рачуна. Тржиште рада карактерише наставак раста формалне запослености и реални раст просечне зараде.</w:t>
      </w:r>
      <w:r w:rsidRPr="001D4868">
        <w:rPr>
          <w:rFonts w:ascii="Arial" w:eastAsia="Verdana" w:hAnsi="Arial" w:cs="Arial"/>
          <w:sz w:val="22"/>
          <w:vertAlign w:val="superscript"/>
        </w:rPr>
        <w:t>5</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Просечна зарада (бруто) обрачуната за септембар 2024. године, износила је 132.783,00 динара, док је просечна зарада без пореза и доприноса (нето) износила 96.115,00 динара. Просечна нето зарада у периоду јануар‒септембар 2024. године, у односу на исти период прошле године, номинално је већа за 14,5%, а реално је већа за 9,3%. Медијална нето зарада за септембар 2024. године, износила је 75.117,00 динара, што значи да је 50% запослених остварило зараду до наведеног износа</w:t>
      </w:r>
      <w:r w:rsidRPr="001D4868">
        <w:rPr>
          <w:rFonts w:ascii="Arial" w:eastAsia="Verdana" w:hAnsi="Arial" w:cs="Arial"/>
          <w:sz w:val="22"/>
          <w:vertAlign w:val="superscript"/>
        </w:rPr>
        <w:t>6</w:t>
      </w:r>
      <w:r w:rsidRPr="001D4868">
        <w:rPr>
          <w:rFonts w:ascii="Arial" w:eastAsia="Verdana" w:hAnsi="Arial" w:cs="Arial"/>
          <w:sz w:val="22"/>
        </w:rPr>
        <w:t>.</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Анкетни подаци о тржишту рада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Према подацима о основним индикаторима тржишта рада из </w:t>
      </w:r>
      <w:r w:rsidRPr="001D4868">
        <w:rPr>
          <w:rFonts w:ascii="Arial" w:eastAsia="Verdana" w:hAnsi="Arial" w:cs="Arial"/>
          <w:b/>
          <w:sz w:val="22"/>
        </w:rPr>
        <w:t>Анкете о радној снази за трећи квартал 2024. године,</w:t>
      </w:r>
      <w:r w:rsidRPr="001D4868">
        <w:rPr>
          <w:rFonts w:ascii="Arial" w:eastAsia="Verdana" w:hAnsi="Arial" w:cs="Arial"/>
          <w:sz w:val="22"/>
          <w:vertAlign w:val="superscript"/>
        </w:rPr>
        <w:t>7</w:t>
      </w:r>
      <w:r w:rsidRPr="001D4868">
        <w:rPr>
          <w:rFonts w:ascii="Arial" w:eastAsia="Verdana" w:hAnsi="Arial" w:cs="Arial"/>
          <w:sz w:val="22"/>
        </w:rPr>
        <w:t xml:space="preserve"> вредност стопе незапослености (за становништво 15+) износи 8,1% (смањење у односу на исти квартал претходне године за 0,9 п.п.), док је стопе запослености 51,9% (повећање у односу на исти квартал претходне године за 1,4 п.п.).</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 Народна банка Србије, Макроекономска кретања у Србији, октобар 2024. године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 Републички завод за статистику, Просечне зараде по запосленом, септембар 2024. године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7 Републички завод за статистику, 29. новембар 2024. године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1. Стопе запослености/незапослености, популација 15+, 2023‒2024. (у%)</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20F9C543" wp14:editId="291153FD">
            <wp:extent cx="5000000" cy="16467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ELqFAQAAMCZGIS84NVPAAAA4G94I6TuUtsAAAAAnMMVJnCIms9OP7YAAAAASUVORK5CYII="/>
                    <pic:cNvPicPr/>
                  </pic:nvPicPr>
                  <pic:blipFill>
                    <a:blip r:embed="rId8" cstate="print">
                      <a:extLst/>
                    </a:blip>
                    <a:stretch>
                      <a:fillRect/>
                    </a:stretch>
                  </pic:blipFill>
                  <pic:spPr>
                    <a:xfrm>
                      <a:off x="0" y="0"/>
                      <a:ext cx="5000000" cy="1646788"/>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АРС, РЗС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У трећем кварталу 2024. године, број запослених, старијих од 15 година, износио је 2.923.500 лица (1.603.900 мушкараца и 1.319.700 жена)</w:t>
      </w:r>
      <w:r w:rsidRPr="001D4868">
        <w:rPr>
          <w:rFonts w:ascii="Arial" w:eastAsia="Verdana" w:hAnsi="Arial" w:cs="Arial"/>
          <w:sz w:val="22"/>
          <w:vertAlign w:val="superscript"/>
        </w:rPr>
        <w:t>8</w:t>
      </w:r>
      <w:r w:rsidRPr="001D4868">
        <w:rPr>
          <w:rFonts w:ascii="Arial" w:eastAsia="Verdana" w:hAnsi="Arial" w:cs="Arial"/>
          <w:sz w:val="22"/>
        </w:rPr>
        <w:t>. У односу на исти квартал претходне године, број запослених повећан је за 61.300 лица, док је број незапослених смањен за 25.300 лица.</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 Резултати Анкете о радној снази публикују се заокружени на хиљаде, с једним децималним местом. Укупне вредности не слажу се увек са збиром појединачних података, с обзиром на то да се дате оцене у статистичким публикацијама израчунавају коришћењем незаокружених бројева (што даје прецизније податке)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Табела број 2. Старосна категорија 15+</w:t>
      </w:r>
    </w:p>
    <w:tbl>
      <w:tblPr>
        <w:tblW w:w="4950" w:type="pct"/>
        <w:tblInd w:w="10" w:type="dxa"/>
        <w:tblCellMar>
          <w:left w:w="10" w:type="dxa"/>
          <w:right w:w="10" w:type="dxa"/>
        </w:tblCellMar>
        <w:tblLook w:val="0000" w:firstRow="0" w:lastRow="0" w:firstColumn="0" w:lastColumn="0" w:noHBand="0" w:noVBand="0"/>
      </w:tblPr>
      <w:tblGrid>
        <w:gridCol w:w="3076"/>
        <w:gridCol w:w="1275"/>
        <w:gridCol w:w="1723"/>
        <w:gridCol w:w="940"/>
        <w:gridCol w:w="2113"/>
        <w:gridCol w:w="1155"/>
      </w:tblGrid>
      <w:tr w:rsidR="001D4868" w:rsidRPr="001D4868" w:rsidTr="00760624">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Старосна категорија 15+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III квартал 2024.</w:t>
            </w:r>
          </w:p>
        </w:tc>
        <w:tc>
          <w:tcPr>
            <w:tcW w:w="0" w:type="auto"/>
            <w:gridSpan w:val="2"/>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Промене у односу на претходни квартал</w:t>
            </w:r>
          </w:p>
        </w:tc>
        <w:tc>
          <w:tcPr>
            <w:tcW w:w="0" w:type="auto"/>
            <w:gridSpan w:val="2"/>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Промене у односу на исти квартал претходне године</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хиљ.)</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хиљ.)</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хиљ.)</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Популација старости 15+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5636,5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‒26,1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‒0,5</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Активно становништво</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3180,6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23,1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0,7</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36,0</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1,1</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Запослени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2923,5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23,8</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0,8</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61,3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2,1</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Формално запослени </w:t>
            </w:r>
            <w:r>
              <w:rPr>
                <w:rFonts w:ascii="Arial" w:eastAsia="Verdana" w:hAnsi="Arial" w:cs="Arial"/>
                <w:b/>
                <w:sz w:val="22"/>
              </w:rPr>
              <w:t>-</w:t>
            </w:r>
            <w:r w:rsidRPr="001D4868">
              <w:rPr>
                <w:rFonts w:ascii="Arial" w:eastAsia="Verdana" w:hAnsi="Arial" w:cs="Arial"/>
                <w:b/>
                <w:sz w:val="22"/>
              </w:rPr>
              <w:t xml:space="preserve"> укупно</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2564,6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68,8</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2,8</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Неформално запослени </w:t>
            </w:r>
            <w:r>
              <w:rPr>
                <w:rFonts w:ascii="Arial" w:eastAsia="Verdana" w:hAnsi="Arial" w:cs="Arial"/>
                <w:b/>
                <w:sz w:val="22"/>
              </w:rPr>
              <w:t>-</w:t>
            </w:r>
            <w:r w:rsidRPr="001D4868">
              <w:rPr>
                <w:rFonts w:ascii="Arial" w:eastAsia="Verdana" w:hAnsi="Arial" w:cs="Arial"/>
                <w:b/>
                <w:sz w:val="22"/>
              </w:rPr>
              <w:t xml:space="preserve"> укупно</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259,0</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15,7</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‒7,4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‒2,0</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Незапослени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257,1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‒0,7</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‒25,3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‒9,0</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Становништво ван радне снаге</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2455,9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‒28,5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‒62,1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‒2,5</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п.п.</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п.п.</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активности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56,4</w:t>
            </w:r>
          </w:p>
        </w:tc>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0,4</w:t>
            </w:r>
          </w:p>
        </w:tc>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0,9</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запослености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51,9</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0,5</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1,4</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Стопа неформалне запослености </w:t>
            </w:r>
            <w:r>
              <w:rPr>
                <w:rFonts w:ascii="Arial" w:eastAsia="Verdana" w:hAnsi="Arial" w:cs="Arial"/>
                <w:b/>
                <w:sz w:val="22"/>
              </w:rPr>
              <w:t>-</w:t>
            </w:r>
            <w:r w:rsidRPr="001D4868">
              <w:rPr>
                <w:rFonts w:ascii="Arial" w:eastAsia="Verdana" w:hAnsi="Arial" w:cs="Arial"/>
                <w:b/>
                <w:sz w:val="22"/>
              </w:rPr>
              <w:t xml:space="preserve"> укупно</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12,3</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0,5</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‒0,5</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незапослености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8,1</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‒0,1</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‒0,9</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становништва ван радне снаге</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43,6</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‒0,4</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‒0,9</w:t>
            </w:r>
          </w:p>
        </w:tc>
      </w:tr>
    </w:tbl>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АРС, РЗС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Посматрано по секторима делатности, у односу на исти квартал претходне године, повећан је број запослених у секторима: </w:t>
      </w:r>
      <w:r w:rsidRPr="001D4868">
        <w:rPr>
          <w:rFonts w:ascii="Arial" w:eastAsia="Verdana" w:hAnsi="Arial" w:cs="Arial"/>
          <w:i/>
          <w:sz w:val="22"/>
        </w:rPr>
        <w:t>Пољопривреда, шумарство и рибарство, Индустрија</w:t>
      </w:r>
      <w:r w:rsidRPr="001D4868">
        <w:rPr>
          <w:rFonts w:ascii="Arial" w:eastAsia="Verdana" w:hAnsi="Arial" w:cs="Arial"/>
          <w:sz w:val="22"/>
        </w:rPr>
        <w:t xml:space="preserve"> и </w:t>
      </w:r>
      <w:r w:rsidRPr="001D4868">
        <w:rPr>
          <w:rFonts w:ascii="Arial" w:eastAsia="Verdana" w:hAnsi="Arial" w:cs="Arial"/>
          <w:i/>
          <w:sz w:val="22"/>
        </w:rPr>
        <w:t>Услуге</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Табела број 3. Запослени по секторима делатности</w:t>
      </w:r>
    </w:p>
    <w:tbl>
      <w:tblPr>
        <w:tblW w:w="4950" w:type="pct"/>
        <w:tblInd w:w="10" w:type="dxa"/>
        <w:tblCellMar>
          <w:left w:w="10" w:type="dxa"/>
          <w:right w:w="10" w:type="dxa"/>
        </w:tblCellMar>
        <w:tblLook w:val="0000" w:firstRow="0" w:lastRow="0" w:firstColumn="0" w:lastColumn="0" w:noHBand="0" w:noVBand="0"/>
      </w:tblPr>
      <w:tblGrid>
        <w:gridCol w:w="1167"/>
        <w:gridCol w:w="2513"/>
        <w:gridCol w:w="924"/>
        <w:gridCol w:w="940"/>
        <w:gridCol w:w="956"/>
        <w:gridCol w:w="962"/>
        <w:gridCol w:w="924"/>
        <w:gridCol w:w="940"/>
        <w:gridCol w:w="956"/>
      </w:tblGrid>
      <w:tr w:rsidR="001D4868" w:rsidRPr="001D4868" w:rsidTr="00760624">
        <w:tblPrEx>
          <w:tblCellMar>
            <w:top w:w="0" w:type="dxa"/>
            <w:bottom w:w="0" w:type="dxa"/>
          </w:tblCellMar>
        </w:tblPrEx>
        <w:tc>
          <w:tcPr>
            <w:tcW w:w="0" w:type="auto"/>
            <w:gridSpan w:val="2"/>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gridSpan w:val="7"/>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Запослени по секторима делатности (у хиљадама)</w:t>
            </w:r>
          </w:p>
        </w:tc>
      </w:tr>
      <w:tr w:rsidR="001D4868" w:rsidRPr="001D4868" w:rsidTr="00760624">
        <w:tblPrEx>
          <w:tblCellMar>
            <w:top w:w="0" w:type="dxa"/>
            <w:bottom w:w="0" w:type="dxa"/>
          </w:tblCellMar>
        </w:tblPrEx>
        <w:tc>
          <w:tcPr>
            <w:tcW w:w="0" w:type="auto"/>
            <w:gridSpan w:val="2"/>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I квартал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II квартал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III квартал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IV квартал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I квартал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II квартал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III квартал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2024.</w:t>
            </w:r>
          </w:p>
        </w:tc>
      </w:tr>
      <w:tr w:rsidR="001D4868" w:rsidRPr="001D4868" w:rsidTr="00760624">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lastRenderedPageBreak/>
              <w:t xml:space="preserve">Делатност </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Пољопривреда, шумарство и рибарство</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364.5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366.7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385.6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375.8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364.5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378.1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390.2</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Индустрија укупно</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672.1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673.8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664.3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666.0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659.1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661.1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681.5</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Грађевинарство</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158.4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164.9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179.2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166.6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167.9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175.6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178.3</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Услуге</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1615.1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1645.9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1633.1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1635.8 </w:t>
            </w:r>
            <w:r w:rsidRPr="001D4868">
              <w:rPr>
                <w:rFonts w:ascii="Arial" w:eastAsia="Verdana" w:hAnsi="Arial" w:cs="Arial"/>
                <w:sz w:val="22"/>
                <w:vertAlign w:val="superscript"/>
              </w:rPr>
              <w:t>(r)</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1680.2</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1684.9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1673.5</w:t>
            </w:r>
          </w:p>
        </w:tc>
      </w:tr>
    </w:tbl>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АРС, РЗС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Територијално посматрано, у поређењу са истим кварталом претходне године, сви региони бележе знатан пораст стопе запослености, изузев Београдског региона, а најприметнији пораст стопе запослености забележен је у региону Шумадије и Западне Србије.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Стопа незапослености, у поређењу са истим кварталом претходне године, смањена је у свим регионима, а најмању вредност бележи у Београдском региону (5,9%).</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Табела број 4. Регионални аспект индикатора тржишта рада</w:t>
      </w:r>
    </w:p>
    <w:tbl>
      <w:tblPr>
        <w:tblW w:w="4950" w:type="pct"/>
        <w:tblInd w:w="10" w:type="dxa"/>
        <w:tblCellMar>
          <w:left w:w="10" w:type="dxa"/>
          <w:right w:w="10" w:type="dxa"/>
        </w:tblCellMar>
        <w:tblLook w:val="0000" w:firstRow="0" w:lastRow="0" w:firstColumn="0" w:lastColumn="0" w:noHBand="0" w:noVBand="0"/>
      </w:tblPr>
      <w:tblGrid>
        <w:gridCol w:w="2773"/>
        <w:gridCol w:w="868"/>
        <w:gridCol w:w="1540"/>
        <w:gridCol w:w="1428"/>
        <w:gridCol w:w="1966"/>
        <w:gridCol w:w="1707"/>
      </w:tblGrid>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Старосна категорија 15+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Укупно</w:t>
            </w:r>
            <w:r w:rsidRPr="001D4868">
              <w:rPr>
                <w:rFonts w:ascii="Arial" w:eastAsia="Verdana" w:hAnsi="Arial" w:cs="Arial"/>
                <w:sz w:val="22"/>
                <w:vertAlign w:val="superscript"/>
              </w:rPr>
              <w:t>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Београдски регион</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Регион Војводине</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Регион Шумадије и Западне Србије</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Регион Јужне и Источне Србије</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Становништво старо 15 и више година </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 хиљадама)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5636,5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1426,2</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1471,7</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1541,3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1197,3</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Активно становништво (у хиљадама)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3180,6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843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823,6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865,3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648,7</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Запослени (у хиљадама)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2923,5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793,5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755,6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799,89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574,7</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Незапослени (у хиљадама)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257,1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49,5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68</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65,6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74</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Становништво ван радне снаге (у хиљадама)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2455,9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583,2</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648,1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676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548,6</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активности (у %)</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56,4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59,1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56,1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54,2</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запослености (у %)</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51,9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55,6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51,3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51,9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48</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незапослености (у %)</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8,3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7,6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11,4</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становништва ван радне снаге (у %)</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43,6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40,9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43,9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45,8</w:t>
            </w:r>
          </w:p>
        </w:tc>
      </w:tr>
    </w:tbl>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АРС, РЗС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Стопа дугорочне незапослености забележила је вредност од 4%.</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Популација младих узраста од 15 до 24 године, у трећем кварталу 2024. године, смањена је за 800 лица, у односу на исти квартал претходне године. Број незапослених смањен је за 7.400 лица, док је број запослених младих повећан за 7.700 лица.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Табела број 5. Старосна категорија 15‒24</w:t>
      </w:r>
    </w:p>
    <w:tbl>
      <w:tblPr>
        <w:tblW w:w="4950" w:type="pct"/>
        <w:tblInd w:w="10" w:type="dxa"/>
        <w:tblCellMar>
          <w:left w:w="10" w:type="dxa"/>
          <w:right w:w="10" w:type="dxa"/>
        </w:tblCellMar>
        <w:tblLook w:val="0000" w:firstRow="0" w:lastRow="0" w:firstColumn="0" w:lastColumn="0" w:noHBand="0" w:noVBand="0"/>
      </w:tblPr>
      <w:tblGrid>
        <w:gridCol w:w="2887"/>
        <w:gridCol w:w="1294"/>
        <w:gridCol w:w="2734"/>
        <w:gridCol w:w="3367"/>
      </w:tblGrid>
      <w:tr w:rsidR="001D4868" w:rsidRPr="001D4868" w:rsidTr="00760624">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Старосна категорија 15-24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III квартал </w:t>
            </w:r>
            <w:r w:rsidRPr="001D4868">
              <w:rPr>
                <w:rFonts w:ascii="Arial" w:eastAsia="Verdana" w:hAnsi="Arial" w:cs="Arial"/>
                <w:b/>
                <w:sz w:val="22"/>
              </w:rPr>
              <w:lastRenderedPageBreak/>
              <w:t>2024.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lastRenderedPageBreak/>
              <w:t xml:space="preserve">Промене у односу на </w:t>
            </w:r>
            <w:r w:rsidRPr="001D4868">
              <w:rPr>
                <w:rFonts w:ascii="Arial" w:eastAsia="Verdana" w:hAnsi="Arial" w:cs="Arial"/>
                <w:b/>
                <w:sz w:val="22"/>
              </w:rPr>
              <w:lastRenderedPageBreak/>
              <w:t>претходни квартал</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lastRenderedPageBreak/>
              <w:t xml:space="preserve">Промене у односу на исти </w:t>
            </w:r>
            <w:r w:rsidRPr="001D4868">
              <w:rPr>
                <w:rFonts w:ascii="Arial" w:eastAsia="Verdana" w:hAnsi="Arial" w:cs="Arial"/>
                <w:b/>
                <w:sz w:val="22"/>
              </w:rPr>
              <w:lastRenderedPageBreak/>
              <w:t>квартал претходне године</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 п.</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 п.</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активности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33,1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0,1</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запослености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26,0</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1,2</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незапослености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21,5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‒3,4</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Стопа становништва ван радне снаге</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66,9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‒0,1</w:t>
            </w:r>
          </w:p>
        </w:tc>
      </w:tr>
    </w:tbl>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АРС, РЗС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Удео младих узраста од 15 до 24 године, који нити раде нити су у процесу образовања или обуке у укупној популацији младих, односно стопа NEET, износио је 13,1% и у односу на исти квартал претходне године, повећан је за 0,2 п.п. Код популације узраста од 15 до 29 година, стопа NEET је на нивоу од 15,0%, што представља смањење од 0,8 п. п.</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Регистрована запосленост</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Анализом података о </w:t>
      </w:r>
      <w:r w:rsidRPr="001D4868">
        <w:rPr>
          <w:rFonts w:ascii="Arial" w:eastAsia="Verdana" w:hAnsi="Arial" w:cs="Arial"/>
          <w:b/>
          <w:sz w:val="22"/>
        </w:rPr>
        <w:t>регистрованој запослености</w:t>
      </w:r>
      <w:r w:rsidRPr="001D4868">
        <w:rPr>
          <w:rFonts w:ascii="Arial" w:eastAsia="Verdana" w:hAnsi="Arial" w:cs="Arial"/>
          <w:sz w:val="22"/>
          <w:vertAlign w:val="superscript"/>
        </w:rPr>
        <w:t>10</w:t>
      </w:r>
      <w:r w:rsidRPr="001D4868">
        <w:rPr>
          <w:rFonts w:ascii="Arial" w:eastAsia="Verdana" w:hAnsi="Arial" w:cs="Arial"/>
          <w:sz w:val="22"/>
        </w:rPr>
        <w:t xml:space="preserve"> закључује се да иста бележи повећање за 4.910 лица, односно за 0,2% у односу на исти квартал претходне године. Наиме, у трећем кварталу 2024. године, укупан број запослених од 2.365.672 лица чинило је 1.896.300 запослених у правним лицима, 420.453 предузетника, лица запослена код њих и лица која самостално обављају делатност и 48.919 регистрованих индивидуалних пољопривредника. Посматрано по структури, повећан је број запослених у правним лицима (за 0,2%) и број предузетника, запослених код њих и лица која самостално обављају делатност (за 1,2%), док је број регистрованих индивидуалних пољопривредника смањен (за 7,8%).</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2. Трендови регистроване запослености, 2023</w:t>
      </w:r>
      <w:r>
        <w:rPr>
          <w:rFonts w:ascii="Arial" w:eastAsia="Verdana" w:hAnsi="Arial" w:cs="Arial"/>
          <w:b/>
          <w:sz w:val="22"/>
        </w:rPr>
        <w:t>-</w:t>
      </w:r>
      <w:r w:rsidRPr="001D4868">
        <w:rPr>
          <w:rFonts w:ascii="Arial" w:eastAsia="Verdana" w:hAnsi="Arial" w:cs="Arial"/>
          <w:b/>
          <w:sz w:val="22"/>
        </w:rPr>
        <w:t>2024. година</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18CFD0AD" wp14:editId="7785466D">
            <wp:extent cx="5000000" cy="9633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yWUWk+m55ksAAAAAElFTkSuQmCC"/>
                    <pic:cNvPicPr/>
                  </pic:nvPicPr>
                  <pic:blipFill>
                    <a:blip r:embed="rId9" cstate="print">
                      <a:extLst/>
                    </a:blip>
                    <a:stretch>
                      <a:fillRect/>
                    </a:stretch>
                  </pic:blipFill>
                  <pic:spPr>
                    <a:xfrm>
                      <a:off x="0" y="0"/>
                      <a:ext cx="5000000" cy="963302"/>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РЗ</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међугодишњем периоду, сектори делатности у којима је дошло до значајнијег повећања броја запослених су</w:t>
      </w:r>
      <w:r w:rsidRPr="001D4868">
        <w:rPr>
          <w:rFonts w:ascii="Arial" w:eastAsia="Verdana" w:hAnsi="Arial" w:cs="Arial"/>
          <w:i/>
          <w:sz w:val="22"/>
        </w:rPr>
        <w:t xml:space="preserve"> Здравствена и социјална заштита, Информисање и комуникације, Стручне, научне и техничке делатности и Грађевинарство.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односу на трећи квартал 2023. године, укупан број запослених је већи за 4.910 лица, односно за 0,2%, при чему је број запослених у правним лицима повећан за 3.959 лица, тј. за 0,2%, број предузетника, запослених код њих и лица која самостално обављају делатност повећан је за 5.061 лице, тј. за 1,2%, док је број регистрованих индивидуалних пољопривредника смањен за 4.110 лица, тј. за 7,8%.</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Регистрована незапосленост</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Када је у питању </w:t>
      </w:r>
      <w:r w:rsidRPr="001D4868">
        <w:rPr>
          <w:rFonts w:ascii="Arial" w:eastAsia="Verdana" w:hAnsi="Arial" w:cs="Arial"/>
          <w:b/>
          <w:sz w:val="22"/>
        </w:rPr>
        <w:t>регистрована незапосленост</w:t>
      </w:r>
      <w:r w:rsidRPr="001D4868">
        <w:rPr>
          <w:rFonts w:ascii="Arial" w:eastAsia="Verdana" w:hAnsi="Arial" w:cs="Arial"/>
          <w:sz w:val="22"/>
          <w:vertAlign w:val="superscript"/>
        </w:rPr>
        <w:t>11</w:t>
      </w:r>
      <w:r w:rsidRPr="001D4868">
        <w:rPr>
          <w:rFonts w:ascii="Arial" w:eastAsia="Verdana" w:hAnsi="Arial" w:cs="Arial"/>
          <w:sz w:val="22"/>
        </w:rPr>
        <w:t>, на евиденцији незапослених налазило се 359.318 лица, од којих је 202.171 жена (56,3%), што представља смањење у односу на исти месец претходне године за 31.721 лица (18.174 жена). Од укупног броја незапослених, први пут запослење тражи 209.790 лица (120.524 жена), тј. 58,4%.</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Посматрано према </w:t>
      </w:r>
      <w:r w:rsidRPr="001D4868">
        <w:rPr>
          <w:rFonts w:ascii="Arial" w:eastAsia="Verdana" w:hAnsi="Arial" w:cs="Arial"/>
          <w:i/>
          <w:sz w:val="22"/>
        </w:rPr>
        <w:t>регионалној дистрибуцији регистроване незапослености</w:t>
      </w:r>
      <w:r w:rsidRPr="001D4868">
        <w:rPr>
          <w:rFonts w:ascii="Arial" w:eastAsia="Verdana" w:hAnsi="Arial" w:cs="Arial"/>
          <w:sz w:val="22"/>
        </w:rPr>
        <w:t>, највеће учешће има регион Шумадије и Западне Србије (35,7%), следе регион Јужне и Источне Србије, регион Војводине и Београдски регион (27,5%, 20,6% и 10,6% респективно), док је најниже учешће региона КиМ (5,6%).</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9 Републички завод за статистику од 1999. године, не располаже подацима за АП Косово и Метохија, тако да они нису садржани у обухвату података за Републику Србију (укупно)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10 Републички завод за статистику, 30. октобар 2024. године, на бази информација из Централног регистра обавезног социјалног осигурања и Статистичког пословног регистра.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11 Стање на дан 30. септембар 2024. године, Статистички билтен НСЗ</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3. Структура незапослених по регионима и полу</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4EEBABAC" wp14:editId="4225CADD">
            <wp:extent cx="5000000" cy="2321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1uPUYjl9cXirZ8AQAAgG7eLyqU4bJUAAAAoA0hBAAAAGjjLyNyQbREMURYAAAAAElFTkSuQmCC"/>
                    <pic:cNvPicPr/>
                  </pic:nvPicPr>
                  <pic:blipFill>
                    <a:blip r:embed="rId10" cstate="print">
                      <a:extLst/>
                    </a:blip>
                    <a:stretch>
                      <a:fillRect/>
                    </a:stretch>
                  </pic:blipFill>
                  <pic:spPr>
                    <a:xfrm>
                      <a:off x="0" y="0"/>
                      <a:ext cx="5000000" cy="2321100"/>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НСЗ</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Посматрано према старосној структури, удео младих у укупној регистрованој незапослености износи 18,8%, док је удео старијих од 50 година 40%.</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Табела број 6. Регистрована незапосленост по старосним групама и пол</w:t>
      </w:r>
    </w:p>
    <w:tbl>
      <w:tblPr>
        <w:tblW w:w="4950" w:type="pct"/>
        <w:tblInd w:w="10" w:type="dxa"/>
        <w:tblCellMar>
          <w:left w:w="10" w:type="dxa"/>
          <w:right w:w="10" w:type="dxa"/>
        </w:tblCellMar>
        <w:tblLook w:val="0000" w:firstRow="0" w:lastRow="0" w:firstColumn="0" w:lastColumn="0" w:noHBand="0" w:noVBand="0"/>
      </w:tblPr>
      <w:tblGrid>
        <w:gridCol w:w="4023"/>
        <w:gridCol w:w="2377"/>
        <w:gridCol w:w="2377"/>
        <w:gridCol w:w="1505"/>
      </w:tblGrid>
      <w:tr w:rsidR="001D4868" w:rsidRPr="001D4868" w:rsidTr="00760624">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Старосна група</w:t>
            </w:r>
          </w:p>
        </w:tc>
        <w:tc>
          <w:tcPr>
            <w:tcW w:w="0" w:type="auto"/>
            <w:gridSpan w:val="2"/>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Незапослена лица</w:t>
            </w:r>
          </w:p>
        </w:tc>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Удео</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Укупно</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Жене</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15‒19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11.721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5.362</w:t>
            </w:r>
          </w:p>
        </w:tc>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18,8%</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26.058</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13.768</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25‒29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29.680</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17.506</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30‒34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31.469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19.028</w:t>
            </w:r>
          </w:p>
        </w:tc>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41,2%</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35‒39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35.441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21.224</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40‒44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38.846</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22.793</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45‒49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42.451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24.420</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50‒54</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44.500</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25.752</w:t>
            </w:r>
          </w:p>
        </w:tc>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40%</w:t>
            </w: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55‒59</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49.681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28.411</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60‒65</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49.471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23.907</w:t>
            </w:r>
          </w:p>
        </w:tc>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УКУПНО</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359.318</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202.171</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bl>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Извор: НСЗ</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Посматрано према образовној структури, лица без основног образовања чине 4,5% укупне регистроване незапослености, лица без квалификација или са ниским нивоом квалификација чине 30,9%, лица са средњим нивоом образовањем чине 51,2%, док је удео лица са високим образовањем 13,4%.</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lastRenderedPageBreak/>
        <w:t>Графикон бр. 4. Образовна структура незапослених лица</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3EE450E9" wp14:editId="5800BF34">
            <wp:extent cx="5000000" cy="212385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RshE3BgAAAAAgNmIRshP7BECAAAAAACyBo0QAAAAAACQNWiEAAAAAACArEEjBAAAAAAAZA0aIQAAAAAAIGvkpSvIMhfTFQAAAAAAgMz1D4ZanxM5dvsLAAAAAElFTkSuQmCC"/>
                    <pic:cNvPicPr/>
                  </pic:nvPicPr>
                  <pic:blipFill>
                    <a:blip r:embed="rId11" cstate="print">
                      <a:extLst/>
                    </a:blip>
                    <a:stretch>
                      <a:fillRect/>
                    </a:stretch>
                  </pic:blipFill>
                  <pic:spPr>
                    <a:xfrm>
                      <a:off x="0" y="0"/>
                      <a:ext cx="5000000" cy="2123853"/>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Уколико посматрамо образовне карактеристике регистроване незапослености по полу, жене су заступљеније у групи лица без квалификација или са ниским нивоом квалификација (благи родни јаз), али и код виших нивоа квалификација (жене представљају образованију кохорту незапослених лица).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 5. Образовна структура незапослених лица према полу</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2FB40F73" wp14:editId="29C17549">
            <wp:extent cx="5000000" cy="173853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FCREREREREFASCPhHC1+cSERERERERUdBgIoSIiIiIiIiIggYTIUREREREREQUNP4fAfHtFqoOqSUAAAAASUVORK5CYII="/>
                    <pic:cNvPicPr/>
                  </pic:nvPicPr>
                  <pic:blipFill>
                    <a:blip r:embed="rId12" cstate="print">
                      <a:extLst/>
                    </a:blip>
                    <a:stretch>
                      <a:fillRect/>
                    </a:stretch>
                  </pic:blipFill>
                  <pic:spPr>
                    <a:xfrm>
                      <a:off x="0" y="0"/>
                      <a:ext cx="5000000" cy="1738532"/>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Једна од карактеристика регистроване незапослености која у многоме утиче на конкурентно иступање незапослених на тржиште рада и истовремено указује на важност значајнијег обухвата незапослених лица мерама активне политике запошљавања (посебно из система додатног образовања и обуке) је </w:t>
      </w:r>
      <w:r w:rsidRPr="001D4868">
        <w:rPr>
          <w:rFonts w:ascii="Arial" w:eastAsia="Verdana" w:hAnsi="Arial" w:cs="Arial"/>
          <w:i/>
          <w:sz w:val="22"/>
        </w:rPr>
        <w:t>дугорочна незапосленост</w:t>
      </w:r>
      <w:r w:rsidRPr="001D4868">
        <w:rPr>
          <w:rFonts w:ascii="Arial" w:eastAsia="Verdana" w:hAnsi="Arial" w:cs="Arial"/>
          <w:sz w:val="22"/>
        </w:rPr>
        <w:t>, односно удео незапослених лица који посао траже дуже од 12 месеци. У референтном периоду, у статусу дугорочно незапосленог налазило се 242.900 лица (67,6% укупне регистроване незапослености), међу којима је чак 69.758 лица, која посао траже дуже од 10 година.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периоду јануар‒септембар 2024. године, Националној служби за запошљавање поднето је, од стране послодаваца, 165.180 пријава потребе за запошљавањем. Према </w:t>
      </w:r>
      <w:r w:rsidRPr="001D4868">
        <w:rPr>
          <w:rFonts w:ascii="Arial" w:eastAsia="Verdana" w:hAnsi="Arial" w:cs="Arial"/>
          <w:i/>
          <w:sz w:val="22"/>
        </w:rPr>
        <w:t>подручју рада</w:t>
      </w:r>
      <w:r w:rsidRPr="001D4868">
        <w:rPr>
          <w:rFonts w:ascii="Arial" w:eastAsia="Verdana" w:hAnsi="Arial" w:cs="Arial"/>
          <w:sz w:val="22"/>
        </w:rPr>
        <w:t xml:space="preserve">, највише слободних радних места пријављено је у подручју </w:t>
      </w:r>
      <w:r w:rsidRPr="001D4868">
        <w:rPr>
          <w:rFonts w:ascii="Arial" w:eastAsia="Verdana" w:hAnsi="Arial" w:cs="Arial"/>
          <w:i/>
          <w:sz w:val="22"/>
        </w:rPr>
        <w:t>Информисање и комуникације, Прерађивачка индустрија, Грађевинарство.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Такође, подаци мапирања, које је реализовано у циљу израде Консолидоване листе дефицитарних занимања за потребе спровођења Закона о запошљавању странаца, указују на недостатак радне снаге у занимањима из домена информационо-телекомуникационих технологија, грађевинарства, транспорта и др.</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Знања, вештине и компетенције стечене у формалном и/или неформалном образовању и обукама, од изузетне су важности за конкурентно иступање на тржишту рада тражилаца запослења.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Према Главним резултатима </w:t>
      </w:r>
      <w:r w:rsidRPr="001D4868">
        <w:rPr>
          <w:rFonts w:ascii="Arial" w:eastAsia="Verdana" w:hAnsi="Arial" w:cs="Arial"/>
          <w:b/>
          <w:sz w:val="22"/>
        </w:rPr>
        <w:t>Европске анкете о вештинама и пословима</w:t>
      </w:r>
      <w:r w:rsidRPr="001D4868">
        <w:rPr>
          <w:rFonts w:ascii="Arial" w:eastAsia="Verdana" w:hAnsi="Arial" w:cs="Arial"/>
          <w:sz w:val="22"/>
        </w:rPr>
        <w:t>, која је реализована и у Републици Србији од стране Европске тренинг фондације (2022</w:t>
      </w:r>
      <w:r>
        <w:rPr>
          <w:rFonts w:ascii="Arial" w:eastAsia="Verdana" w:hAnsi="Arial" w:cs="Arial"/>
          <w:sz w:val="22"/>
        </w:rPr>
        <w:t>-</w:t>
      </w:r>
      <w:r w:rsidRPr="001D4868">
        <w:rPr>
          <w:rFonts w:ascii="Arial" w:eastAsia="Verdana" w:hAnsi="Arial" w:cs="Arial"/>
          <w:sz w:val="22"/>
        </w:rPr>
        <w:t>2023), када је у питању дигитална транзиција, 21% испитаника изјаснило се да су на њиховом радном месту уведене нове дигиталне технологије (ЕУ 27 је 43%). Такође, 12% испитаника каже да су научили нове рачунарске програме/софтвер или компјутеризоване машине за обављање свог посла (ЕУ 27 је 35%).</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Имајући у виду да важан предуслов представља расположивост информација и континуирано праћење трендова на тржишту рада који сигнализирају промене у потребама за занимањима и стручним компетенцијама, а које би се потом, у сарадњи сектора запошљавања и образовања и </w:t>
      </w:r>
      <w:r w:rsidRPr="001D4868">
        <w:rPr>
          <w:rFonts w:ascii="Arial" w:eastAsia="Verdana" w:hAnsi="Arial" w:cs="Arial"/>
          <w:sz w:val="22"/>
        </w:rPr>
        <w:lastRenderedPageBreak/>
        <w:t xml:space="preserve">сектор привреде, имплементирале у постојећи систем неформалног образовања и обуке, осигуравајући његову ажурност и сврсисходност, Министарство за рад, запошљавање, борачка и социјална питања и Национална служба за запошљавање ће, у сарадњи са ГИЗ, до краја 2024. године, спровести анкетно истраживање потреба послодаваца (на националном и локалном нивоу) за наредни трогодишњи период, чији ће налази бити полазна основа за развој Каталога обука за потребе тржишта рада за незапослена лица. Мапиране потребе треба да доведу до развоја програма обуке одраслих заснованих на стандарду квалификација, које ће реализовати превасходно ЈПОА, а који ће омогућити стицање компетенција и/или дела квалификације, са посебним акцентом на практични део (и кроз спровођење програма учења на радном месту </w:t>
      </w:r>
      <w:r>
        <w:rPr>
          <w:rFonts w:ascii="Arial" w:eastAsia="Verdana" w:hAnsi="Arial" w:cs="Arial"/>
          <w:sz w:val="22"/>
        </w:rPr>
        <w:t>-</w:t>
      </w:r>
      <w:r w:rsidRPr="001D4868">
        <w:rPr>
          <w:rFonts w:ascii="Arial" w:eastAsia="Verdana" w:hAnsi="Arial" w:cs="Arial"/>
          <w:sz w:val="22"/>
        </w:rPr>
        <w:t xml:space="preserve"> </w:t>
      </w:r>
      <w:r w:rsidRPr="001D4868">
        <w:rPr>
          <w:rFonts w:ascii="Arial" w:eastAsia="Verdana" w:hAnsi="Arial" w:cs="Arial"/>
          <w:i/>
          <w:sz w:val="22"/>
        </w:rPr>
        <w:t>workplace learning</w:t>
      </w:r>
      <w:r w:rsidRPr="001D4868">
        <w:rPr>
          <w:rFonts w:ascii="Arial" w:eastAsia="Verdana" w:hAnsi="Arial" w:cs="Arial"/>
          <w:sz w:val="22"/>
        </w:rPr>
        <w:t>). На овај начин биће омогућено да лица, у релативно кратком року, кроз стицање конкретних знања и вештина за којима постоји исказана потреба од стране послодаваца, унапреде своју позицију и ефикасно се интегришу на тржиште рада.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Дакле, стабилна кретања на тржишту рада резултат су очуване макроекономске стабилности, привредног раста, као и континуираног рада на побољшању услова рада, унапређивању институција тржишта рада, подстицању запошљавања и укључивања на тржиште рада теже запошљивих лица, као и подршке регионалној и локалној политици запошљавања. Међутим, и надаље су присутни изазови, посебно у домену структурне незапослености. Наиме, национално тржиште рада суочава се са континуираним смањењем кохорте младих у становништву радног узраста, повећава се удео лица старијих од 50 година у регистрованој незапослености, удео лица која први пут траже запослење и дугорочна незапосленост. Подаци указују на низак образовни ниво и недостатак знања, вештина и компетенција, дуг период транзиције из света образовања у свет рада, недостатак радног искуства, губитак мотивације, обесхрабреност и социјалну изолацију, материјалну депривацију, пасивизацију и зависност од давања из система социјалне заштите</w:t>
      </w:r>
      <w:r w:rsidRPr="001D4868">
        <w:rPr>
          <w:rFonts w:ascii="Arial" w:eastAsia="Verdana" w:hAnsi="Arial" w:cs="Arial"/>
          <w:sz w:val="22"/>
          <w:vertAlign w:val="superscript"/>
        </w:rPr>
        <w:t>12</w:t>
      </w:r>
      <w:r w:rsidRPr="001D4868">
        <w:rPr>
          <w:rFonts w:ascii="Arial" w:eastAsia="Verdana" w:hAnsi="Arial" w:cs="Arial"/>
          <w:sz w:val="22"/>
        </w:rPr>
        <w:t xml:space="preserve"> и др.</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Сходно наведеном, системи образовања (укључујући и обуке) и запошљавања морају континуирано пратити и усаглашавати планове и програме наставе и учења, програме обука и мере активне политике запошљавања из система додатног образовања и обуке са идентификованим и пројектованим потребама тржишта рада. Са друге стране, привредна друштва и послодавци треба да, како би подржали економски раст и своју позицију у тржишној утакмици, прошире своје учешће у образовању и обуци, односно у формама кроз које запослени стичу додатна знања и вештине. А лица, било да су у статусу запосленог или незапосленог, треба да проактивно надограђују своје способности или стичу нове, управо кроз обуку, образовање и целоживотно учење, како би одржали запослење, обезбедили предуслове за даљи каријерни развој и напредовање, односно за успешну интеграцију или реинтеграцију на тржиште рада.</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III) ПРИОРИТЕТНЕ ОБРАЗОВНЕ ОБЛАСТИ ГОДИШЊЕГ ПЛАНА ОБРАЗОВАЊА ОДРАСЛИХ ЗА 2025. ГОДИНУ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ГПОО за 2025. годину, дефинишу се следеће Приоритетне образовне области и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А) Повећање обухвата/укључености одраслих у програме образовања и обучавања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На годишњем нивоу пратимо планирано учешће одраслих у програмима формалног и неформалног образовања одраслих, и ширење мреже установа и организација за реализацију активности и уочавамо трендове укључивања одраслих у ова два облика (вида) образовања одраслих и то у оквиру: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1. </w:t>
      </w:r>
      <w:r w:rsidRPr="001D4868">
        <w:rPr>
          <w:rFonts w:ascii="Arial" w:eastAsia="Verdana" w:hAnsi="Arial" w:cs="Arial"/>
          <w:sz w:val="22"/>
        </w:rPr>
        <w:t>Формалног система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1.1. Функционално основно образовање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1.2. Средње образовање одраслих (ванредни полазници средњег образовања, одрасли старији од 17 година);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1.3. Преквалификације, доквалификације и специјализације одраслих у средњем образовању;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1.4. Реализација активности образовања одраслих у Регионалним тренинг центрима у средњим стучним школама.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2. </w:t>
      </w:r>
      <w:r w:rsidRPr="001D4868">
        <w:rPr>
          <w:rFonts w:ascii="Arial" w:eastAsia="Verdana" w:hAnsi="Arial" w:cs="Arial"/>
          <w:sz w:val="22"/>
        </w:rPr>
        <w:t>Неформалног система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2.1. Реализација програма и стицања компетенција и квалификација запослених и незапослених лица код ЈПОА;</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 xml:space="preserve">12 Према подацима Републичког завода за статистику </w:t>
      </w:r>
      <w:r>
        <w:rPr>
          <w:rFonts w:ascii="Arial" w:eastAsia="Verdana" w:hAnsi="Arial" w:cs="Arial"/>
          <w:sz w:val="22"/>
        </w:rPr>
        <w:t>-</w:t>
      </w:r>
      <w:r w:rsidRPr="001D4868">
        <w:rPr>
          <w:rFonts w:ascii="Arial" w:eastAsia="Verdana" w:hAnsi="Arial" w:cs="Arial"/>
          <w:sz w:val="22"/>
        </w:rPr>
        <w:t xml:space="preserve"> Сиромаштво и социјална неједнакост, 2023. (од 15. октобра 2024. године), у 2023. години, стопа ризика од сиромаштва износила је 19,9%, и у односу на 2022. годину, нижа је за 0,3 процентна поена. Стопа ризика од сиромаштва према најчешћем статусу у активности, за лица стара 18 и више година, показује да је 50,9% незапослених лица било изложено ризику од сиромаштва. Самозапослена лица имала су већу стопу ризика од сиромаштва од лица запослених код послодавца, 12,9% у односу на 4,9%</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2.2. Реализација програма и других активности неформалног образовања и обучавања одраслих у организацији НСЗ, других државних органа и установа, удружења и комора, а у оквиру којих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Б) Унапређење квалитета у образовању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Овај стратешки приоритет планирано је да се у наредној години прати кроз реализацију следећих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Унапређење националног оквира квалитета неформалног образовања;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Подршка ЈПОА за спровођење активности према утврђеним стандардима квалитета;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Унапређење институционалних и људских ресурса;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Даљи развој ППУ и КВиС;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Унапређење социјалног партнерства и промоција неформалног образовања и целоживотног учења.</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IV) ПРИОРИТЕТНЕ ОБЛАСТИ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А) Приоритетна област: ПОВЕЋАЊЕ ОБУХВАТА/УКЉУЧЕНОСТИ ОДРАСЛИХ У ПРОГРАМЕ ОБРАЗОВАЊА И ОБУЧАВАЊА </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Упркос сталном напретку ове области, квалитет, правичност и релевантност образовања и обучавања не задовољавају у потпуности потребе тржишта рада. У области неформалног образовања тренутно постоји велики број пружалаца услуга образовања одраслих различитих профила и са различитим нивоима капацитета за примену релевантних стандарда и прописа. Још увек је недовољан број пружаоца стандардизованих услуга неформалног образовања које воде до стицања квалификација. У претходном периоду припремљен је трогодишњи ИПА пројекат и у 2025. години, се очекује његова пуна реализација, а чији је главни циљ обезбеђивање услова за повећање понуде и диверсификацију акредитованих неформалних програма обуке и пружаоца услуга обука за одрасле, сходно томе и проширење мреже установа и организација за реализацију програма и активности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На годишњем нивоу пратити планирано учешће одраслих у програмима формалног и неформалног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циљу повећања ефикасности система образовања одраслих у наредном периоду очекује се даља реализација дефинисаних активности на успостављању нових регионалних тренинг центара за имплементацију програма целоживотно учење у средњим стручним школама, како би се што ефикасније одговорило на различите потребе одраслих и привреде.</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b/>
          <w:sz w:val="22"/>
        </w:rPr>
        <w:t>1. Формални систем образовања одраслих:</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i/>
          <w:sz w:val="22"/>
        </w:rPr>
        <w:t>1.1. Функционално основно образовање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На основу прикупљених података преко школских управа, у школској 2024/2025. години, планирана је реализација основног образовања одраслих по програму ФООО на територији </w:t>
      </w:r>
      <w:r w:rsidRPr="001D4868">
        <w:rPr>
          <w:rFonts w:ascii="Arial" w:eastAsia="Verdana" w:hAnsi="Arial" w:cs="Arial"/>
          <w:b/>
          <w:sz w:val="22"/>
        </w:rPr>
        <w:t xml:space="preserve">15 </w:t>
      </w:r>
      <w:r w:rsidRPr="001D4868">
        <w:rPr>
          <w:rFonts w:ascii="Arial" w:eastAsia="Verdana" w:hAnsi="Arial" w:cs="Arial"/>
          <w:sz w:val="22"/>
        </w:rPr>
        <w:t xml:space="preserve">школских управа, у </w:t>
      </w:r>
      <w:r w:rsidRPr="001D4868">
        <w:rPr>
          <w:rFonts w:ascii="Arial" w:eastAsia="Verdana" w:hAnsi="Arial" w:cs="Arial"/>
          <w:b/>
          <w:sz w:val="22"/>
        </w:rPr>
        <w:t>64</w:t>
      </w:r>
      <w:r w:rsidRPr="001D4868">
        <w:rPr>
          <w:rFonts w:ascii="Arial" w:eastAsia="Verdana" w:hAnsi="Arial" w:cs="Arial"/>
          <w:sz w:val="22"/>
        </w:rPr>
        <w:t xml:space="preserve"> основне школе. Планирани број полазника основног образовања одраслих у школској 2024/2025. години, је </w:t>
      </w:r>
      <w:r w:rsidRPr="001D4868">
        <w:rPr>
          <w:rFonts w:ascii="Arial" w:eastAsia="Verdana" w:hAnsi="Arial" w:cs="Arial"/>
          <w:b/>
          <w:sz w:val="22"/>
        </w:rPr>
        <w:t>5471</w:t>
      </w:r>
      <w:r w:rsidRPr="001D4868">
        <w:rPr>
          <w:rFonts w:ascii="Arial" w:eastAsia="Verdana" w:hAnsi="Arial" w:cs="Arial"/>
          <w:sz w:val="22"/>
        </w:rPr>
        <w:t xml:space="preserve">. На програму ФООО планирано је ангажовање </w:t>
      </w:r>
      <w:r w:rsidRPr="001D4868">
        <w:rPr>
          <w:rFonts w:ascii="Arial" w:eastAsia="Verdana" w:hAnsi="Arial" w:cs="Arial"/>
          <w:b/>
          <w:sz w:val="22"/>
        </w:rPr>
        <w:t xml:space="preserve">816 </w:t>
      </w:r>
      <w:r w:rsidRPr="001D4868">
        <w:rPr>
          <w:rFonts w:ascii="Arial" w:eastAsia="Verdana" w:hAnsi="Arial" w:cs="Arial"/>
          <w:sz w:val="22"/>
        </w:rPr>
        <w:t xml:space="preserve">наставника и </w:t>
      </w:r>
      <w:r w:rsidRPr="001D4868">
        <w:rPr>
          <w:rFonts w:ascii="Arial" w:eastAsia="Verdana" w:hAnsi="Arial" w:cs="Arial"/>
          <w:b/>
          <w:sz w:val="22"/>
        </w:rPr>
        <w:t>71</w:t>
      </w:r>
      <w:r w:rsidRPr="001D4868">
        <w:rPr>
          <w:rFonts w:ascii="Arial" w:eastAsia="Verdana" w:hAnsi="Arial" w:cs="Arial"/>
          <w:sz w:val="22"/>
        </w:rPr>
        <w:t xml:space="preserve"> андрагошких асистената. Андрагошки асистенти могу бити посебно ангажована лица за обављање овог посла, или наставници који већ предају у датој школи. Ове године </w:t>
      </w:r>
      <w:r w:rsidRPr="001D4868">
        <w:rPr>
          <w:rFonts w:ascii="Arial" w:eastAsia="Verdana" w:hAnsi="Arial" w:cs="Arial"/>
          <w:b/>
          <w:sz w:val="22"/>
        </w:rPr>
        <w:t>26,7%</w:t>
      </w:r>
      <w:r w:rsidRPr="001D4868">
        <w:rPr>
          <w:rFonts w:ascii="Arial" w:eastAsia="Verdana" w:hAnsi="Arial" w:cs="Arial"/>
          <w:sz w:val="22"/>
        </w:rPr>
        <w:t xml:space="preserve"> андрагошких асистената (односно њих 19) ангажовано је из редова наставника. Дистрибуција полазника по циклусима ФООО у школској 2024/2025. години, приказана је на </w:t>
      </w:r>
      <w:r w:rsidRPr="001D4868">
        <w:rPr>
          <w:rFonts w:ascii="Arial" w:eastAsia="Verdana" w:hAnsi="Arial" w:cs="Arial"/>
          <w:i/>
          <w:sz w:val="22"/>
        </w:rPr>
        <w:t>Графикону број 6.</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6. Дистрибуција полазника по циклусима ФООО у школској 2024/2025. години</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lastRenderedPageBreak/>
        <w:drawing>
          <wp:inline distT="0" distB="0" distL="0" distR="0" wp14:anchorId="7DBD486F" wp14:editId="6190BF23">
            <wp:extent cx="5000000" cy="122018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mgAAAABJRU5ErkJggg=="/>
                    <pic:cNvPicPr/>
                  </pic:nvPicPr>
                  <pic:blipFill>
                    <a:blip r:embed="rId13" cstate="print">
                      <a:extLst/>
                    </a:blip>
                    <a:stretch>
                      <a:fillRect/>
                    </a:stretch>
                  </pic:blipFill>
                  <pic:spPr>
                    <a:xfrm>
                      <a:off x="0" y="0"/>
                      <a:ext cx="5000000" cy="1220183"/>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Број уписаних полазника по циклусима ФООО у школској 2024/2025. години, је углавном уједначен. Мотивисање полазника за упис у први циклус традиционално је најтеже због баријера које потенцијални полазници имају за улазак у систем образовања. Одрасли имају највећу мотивацију када се ради о упису у трећи образовни циклус и завршавању основног образовања, па је број полазника који су планирани за упис у завршни циклус основног образовања константно најбројнији.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имплементацији основног образовања одраслих као кључни се издвајају два проблема: велико осипање полазника и недостатак реализације обука полазника за једноставна занимања.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Може се уочити да су жене у свим циклусима заступљеније од мушкараца било да се ради о неромској или ромској популацији. Ово је тренд који се наставља последњих неколико година. Услед запажене тенденције ка све већем описмењавању жена, очекује се наставак промена у позитивном смеру, када се ради о овом делу популације. Дистрибуција полазника по полу, приказана је на </w:t>
      </w:r>
      <w:r w:rsidRPr="001D4868">
        <w:rPr>
          <w:rFonts w:ascii="Arial" w:eastAsia="Verdana" w:hAnsi="Arial" w:cs="Arial"/>
          <w:i/>
          <w:sz w:val="22"/>
        </w:rPr>
        <w:t xml:space="preserve">Графикону број 7. </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7.Дистрибуција полазника по циклусима, по полу</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09018273" wp14:editId="19F63C5D">
            <wp:extent cx="5000000" cy="125229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oS58VXCfLoAAAAAElFTkSuQmCC"/>
                    <pic:cNvPicPr/>
                  </pic:nvPicPr>
                  <pic:blipFill>
                    <a:blip r:embed="rId14" cstate="print">
                      <a:extLst/>
                    </a:blip>
                    <a:stretch>
                      <a:fillRect/>
                    </a:stretch>
                  </pic:blipFill>
                  <pic:spPr>
                    <a:xfrm>
                      <a:off x="0" y="0"/>
                      <a:ext cx="5000000" cy="1252293"/>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оквиру праћења младих, млађих од 30 година, утврдили смо да се ове године планира упис </w:t>
      </w:r>
      <w:r w:rsidRPr="001D4868">
        <w:rPr>
          <w:rFonts w:ascii="Arial" w:eastAsia="Verdana" w:hAnsi="Arial" w:cs="Arial"/>
          <w:b/>
          <w:sz w:val="22"/>
        </w:rPr>
        <w:t>1812</w:t>
      </w:r>
      <w:r w:rsidRPr="001D4868">
        <w:rPr>
          <w:rFonts w:ascii="Arial" w:eastAsia="Verdana" w:hAnsi="Arial" w:cs="Arial"/>
          <w:sz w:val="22"/>
        </w:rPr>
        <w:t xml:space="preserve"> припадника ове узрасне категорије (</w:t>
      </w:r>
      <w:r w:rsidRPr="001D4868">
        <w:rPr>
          <w:rFonts w:ascii="Arial" w:eastAsia="Verdana" w:hAnsi="Arial" w:cs="Arial"/>
          <w:b/>
          <w:sz w:val="22"/>
        </w:rPr>
        <w:t>33,12%</w:t>
      </w:r>
      <w:r w:rsidRPr="001D4868">
        <w:rPr>
          <w:rFonts w:ascii="Arial" w:eastAsia="Verdana" w:hAnsi="Arial" w:cs="Arial"/>
          <w:sz w:val="22"/>
        </w:rPr>
        <w:t xml:space="preserve"> од укупног броја уписаних). Удео младих, млађих од 30 година, у укупном броју полазника ФООО, приказан је на </w:t>
      </w:r>
      <w:r w:rsidRPr="001D4868">
        <w:rPr>
          <w:rFonts w:ascii="Arial" w:eastAsia="Verdana" w:hAnsi="Arial" w:cs="Arial"/>
          <w:i/>
          <w:sz w:val="22"/>
        </w:rPr>
        <w:t>Графикону број 8.</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8. Удео младих, млађих од 30 година</w:t>
      </w:r>
      <w:r w:rsidRPr="001D4868">
        <w:rPr>
          <w:rFonts w:ascii="Arial" w:eastAsia="Verdana" w:hAnsi="Arial" w:cs="Arial"/>
          <w:sz w:val="22"/>
        </w:rPr>
        <w:t xml:space="preserve"> </w:t>
      </w:r>
      <w:r w:rsidRPr="001D4868">
        <w:rPr>
          <w:rFonts w:ascii="Arial" w:eastAsia="Verdana" w:hAnsi="Arial" w:cs="Arial"/>
          <w:b/>
          <w:sz w:val="22"/>
        </w:rPr>
        <w:t>у укупном броју полазника ФООО</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1676734F" wp14:editId="59326807">
            <wp:extent cx="5000000" cy="107798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0ZEpzUGQojIiA8EIiIiOl0xEEJEANhZKhERERERERE1IewjhIiMVoTKQERERERE1Jj9f2dku81Pkg9hAAAAAElFTkSuQmCC"/>
                    <pic:cNvPicPr/>
                  </pic:nvPicPr>
                  <pic:blipFill>
                    <a:blip r:embed="rId15" cstate="print">
                      <a:extLst/>
                    </a:blip>
                    <a:stretch>
                      <a:fillRect/>
                    </a:stretch>
                  </pic:blipFill>
                  <pic:spPr>
                    <a:xfrm>
                      <a:off x="0" y="0"/>
                      <a:ext cx="5000000" cy="1077981"/>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оквиру праћења мера за унапређивање права и положаја мањина, уочено је да од </w:t>
      </w:r>
      <w:r w:rsidRPr="001D4868">
        <w:rPr>
          <w:rFonts w:ascii="Arial" w:eastAsia="Verdana" w:hAnsi="Arial" w:cs="Arial"/>
          <w:b/>
          <w:sz w:val="22"/>
        </w:rPr>
        <w:t xml:space="preserve">5471 </w:t>
      </w:r>
      <w:r w:rsidRPr="001D4868">
        <w:rPr>
          <w:rFonts w:ascii="Arial" w:eastAsia="Verdana" w:hAnsi="Arial" w:cs="Arial"/>
          <w:sz w:val="22"/>
        </w:rPr>
        <w:t xml:space="preserve">полазника који су планирани за упис у оквиру програма основног образовања одраслих, </w:t>
      </w:r>
      <w:r w:rsidRPr="001D4868">
        <w:rPr>
          <w:rFonts w:ascii="Arial" w:eastAsia="Verdana" w:hAnsi="Arial" w:cs="Arial"/>
          <w:b/>
          <w:sz w:val="22"/>
        </w:rPr>
        <w:t xml:space="preserve">4556 </w:t>
      </w:r>
      <w:r w:rsidRPr="001D4868">
        <w:rPr>
          <w:rFonts w:ascii="Arial" w:eastAsia="Verdana" w:hAnsi="Arial" w:cs="Arial"/>
          <w:sz w:val="22"/>
        </w:rPr>
        <w:t>полазника јеиз ромске попул</w:t>
      </w:r>
      <w:bookmarkStart w:id="1" w:name="_GoBack"/>
      <w:bookmarkEnd w:id="1"/>
      <w:r w:rsidRPr="001D4868">
        <w:rPr>
          <w:rFonts w:ascii="Arial" w:eastAsia="Verdana" w:hAnsi="Arial" w:cs="Arial"/>
          <w:sz w:val="22"/>
        </w:rPr>
        <w:t>ације (</w:t>
      </w:r>
      <w:r w:rsidRPr="001D4868">
        <w:rPr>
          <w:rFonts w:ascii="Arial" w:eastAsia="Verdana" w:hAnsi="Arial" w:cs="Arial"/>
          <w:b/>
          <w:sz w:val="22"/>
        </w:rPr>
        <w:t>83</w:t>
      </w:r>
      <w:r w:rsidRPr="001D4868">
        <w:rPr>
          <w:rFonts w:ascii="Arial" w:eastAsia="Verdana" w:hAnsi="Arial" w:cs="Arial"/>
          <w:sz w:val="22"/>
        </w:rPr>
        <w:t xml:space="preserve">%). Удео ромске популације у укупном броју полазника константно је висок и у благом је порасту у односу на прошлу годину. Ово је такође тренд који се наставља у последњих неколико година. Иако је овако висок проценат ромске популације у програму ФООО и резултат мера које су примењене у привлачењу, мотивисању и укључивању Рома у све нивое образовања, у оквиру система образовања у Републици Србији, као и чињенице да ове популације највише има међу необразованима, очекујемо позитивне резултате у смислу описмењавања ове популације и њихове социјализације и све већег укључивања у свим сферама друштвеног живота. Удео ромске популације у укупном броју полазника ФООО приказан је на </w:t>
      </w:r>
      <w:r w:rsidRPr="001D4868">
        <w:rPr>
          <w:rFonts w:ascii="Arial" w:eastAsia="Verdana" w:hAnsi="Arial" w:cs="Arial"/>
          <w:i/>
          <w:sz w:val="22"/>
        </w:rPr>
        <w:t>Графикону број 9.</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9. Удео ромске популације у укупном броју полазника ФООО</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lastRenderedPageBreak/>
        <w:drawing>
          <wp:inline distT="0" distB="0" distL="0" distR="0" wp14:anchorId="7DCDB592" wp14:editId="57BBAADB">
            <wp:extent cx="5000000" cy="99541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y6RvDXrjAygAAAABJRU5ErkJggg=="/>
                    <pic:cNvPicPr/>
                  </pic:nvPicPr>
                  <pic:blipFill>
                    <a:blip r:embed="rId16" cstate="print">
                      <a:extLst/>
                    </a:blip>
                    <a:stretch>
                      <a:fillRect/>
                    </a:stretch>
                  </pic:blipFill>
                  <pic:spPr>
                    <a:xfrm>
                      <a:off x="0" y="0"/>
                      <a:ext cx="5000000" cy="995412"/>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Казнено поправним заводима и Васпитно поправним домовима (у даљем тексту: КПЗ и ВПД), у програм ФООО планирано је укључивање </w:t>
      </w:r>
      <w:r w:rsidRPr="001D4868">
        <w:rPr>
          <w:rFonts w:ascii="Arial" w:eastAsia="Verdana" w:hAnsi="Arial" w:cs="Arial"/>
          <w:b/>
          <w:sz w:val="22"/>
        </w:rPr>
        <w:t>274</w:t>
      </w:r>
      <w:r w:rsidRPr="001D4868">
        <w:rPr>
          <w:rFonts w:ascii="Arial" w:eastAsia="Verdana" w:hAnsi="Arial" w:cs="Arial"/>
          <w:sz w:val="22"/>
        </w:rPr>
        <w:t xml:space="preserve"> полазника, од којих је </w:t>
      </w:r>
      <w:r w:rsidRPr="001D4868">
        <w:rPr>
          <w:rFonts w:ascii="Arial" w:eastAsia="Verdana" w:hAnsi="Arial" w:cs="Arial"/>
          <w:b/>
          <w:sz w:val="22"/>
        </w:rPr>
        <w:t xml:space="preserve">228 </w:t>
      </w:r>
      <w:r w:rsidRPr="001D4868">
        <w:rPr>
          <w:rFonts w:ascii="Arial" w:eastAsia="Verdana" w:hAnsi="Arial" w:cs="Arial"/>
          <w:sz w:val="22"/>
        </w:rPr>
        <w:t>припадника ромске популације. Удео ромске популације у укупном броју полазника је незнатно већи него у општој популацији (</w:t>
      </w:r>
      <w:r w:rsidRPr="001D4868">
        <w:rPr>
          <w:rFonts w:ascii="Arial" w:eastAsia="Verdana" w:hAnsi="Arial" w:cs="Arial"/>
          <w:b/>
          <w:sz w:val="22"/>
        </w:rPr>
        <w:t>83,21%</w:t>
      </w:r>
      <w:r w:rsidRPr="001D4868">
        <w:rPr>
          <w:rFonts w:ascii="Arial" w:eastAsia="Verdana" w:hAnsi="Arial" w:cs="Arial"/>
          <w:sz w:val="22"/>
        </w:rPr>
        <w:t xml:space="preserve"> од укупног броја уписаних).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Можемо приметити да када се ради о женској популацији, удео Ромкиња је чак </w:t>
      </w:r>
      <w:r w:rsidRPr="001D4868">
        <w:rPr>
          <w:rFonts w:ascii="Arial" w:eastAsia="Verdana" w:hAnsi="Arial" w:cs="Arial"/>
          <w:b/>
          <w:sz w:val="22"/>
        </w:rPr>
        <w:t xml:space="preserve">87% </w:t>
      </w:r>
      <w:r w:rsidRPr="001D4868">
        <w:rPr>
          <w:rFonts w:ascii="Arial" w:eastAsia="Verdana" w:hAnsi="Arial" w:cs="Arial"/>
          <w:sz w:val="22"/>
        </w:rPr>
        <w:t xml:space="preserve">(од </w:t>
      </w:r>
      <w:r w:rsidRPr="001D4868">
        <w:rPr>
          <w:rFonts w:ascii="Arial" w:eastAsia="Verdana" w:hAnsi="Arial" w:cs="Arial"/>
          <w:b/>
          <w:sz w:val="22"/>
        </w:rPr>
        <w:t>32</w:t>
      </w:r>
      <w:r w:rsidRPr="001D4868">
        <w:rPr>
          <w:rFonts w:ascii="Arial" w:eastAsia="Verdana" w:hAnsi="Arial" w:cs="Arial"/>
          <w:sz w:val="22"/>
        </w:rPr>
        <w:t xml:space="preserve"> полазница програма ФООО у КПЗ, њих </w:t>
      </w:r>
      <w:r w:rsidRPr="001D4868">
        <w:rPr>
          <w:rFonts w:ascii="Arial" w:eastAsia="Verdana" w:hAnsi="Arial" w:cs="Arial"/>
          <w:b/>
          <w:sz w:val="22"/>
        </w:rPr>
        <w:t>28</w:t>
      </w:r>
      <w:r w:rsidRPr="001D4868">
        <w:rPr>
          <w:rFonts w:ascii="Arial" w:eastAsia="Verdana" w:hAnsi="Arial" w:cs="Arial"/>
          <w:sz w:val="22"/>
        </w:rPr>
        <w:t xml:space="preserve"> припаднице ромске популације). Наравно удео жена у популацији затвореника је веома мали, па је овај статистички податак од слабијег значаја.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оквиру праћења младих, млађих од 30 година, утврдили смо да се ове године планира упис </w:t>
      </w:r>
      <w:r w:rsidRPr="001D4868">
        <w:rPr>
          <w:rFonts w:ascii="Arial" w:eastAsia="Verdana" w:hAnsi="Arial" w:cs="Arial"/>
          <w:b/>
          <w:sz w:val="22"/>
        </w:rPr>
        <w:t>112</w:t>
      </w:r>
      <w:r w:rsidRPr="001D4868">
        <w:rPr>
          <w:rFonts w:ascii="Arial" w:eastAsia="Verdana" w:hAnsi="Arial" w:cs="Arial"/>
          <w:sz w:val="22"/>
        </w:rPr>
        <w:t xml:space="preserve"> припадника ове узрасне категорије (</w:t>
      </w:r>
      <w:r w:rsidRPr="001D4868">
        <w:rPr>
          <w:rFonts w:ascii="Arial" w:eastAsia="Verdana" w:hAnsi="Arial" w:cs="Arial"/>
          <w:b/>
          <w:sz w:val="22"/>
        </w:rPr>
        <w:t>40,9%</w:t>
      </w:r>
      <w:r w:rsidRPr="001D4868">
        <w:rPr>
          <w:rFonts w:ascii="Arial" w:eastAsia="Verdana" w:hAnsi="Arial" w:cs="Arial"/>
          <w:sz w:val="22"/>
        </w:rPr>
        <w:t xml:space="preserve"> од укупног броја уписаних).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На програму ФООО у КПЗ је планирано ангажовање </w:t>
      </w:r>
      <w:r w:rsidRPr="001D4868">
        <w:rPr>
          <w:rFonts w:ascii="Arial" w:eastAsia="Verdana" w:hAnsi="Arial" w:cs="Arial"/>
          <w:b/>
          <w:sz w:val="22"/>
        </w:rPr>
        <w:t>85</w:t>
      </w:r>
      <w:r w:rsidRPr="001D4868">
        <w:rPr>
          <w:rFonts w:ascii="Arial" w:eastAsia="Verdana" w:hAnsi="Arial" w:cs="Arial"/>
          <w:sz w:val="22"/>
        </w:rPr>
        <w:t xml:space="preserve"> наставника и </w:t>
      </w:r>
      <w:r w:rsidRPr="001D4868">
        <w:rPr>
          <w:rFonts w:ascii="Arial" w:eastAsia="Verdana" w:hAnsi="Arial" w:cs="Arial"/>
          <w:b/>
          <w:sz w:val="22"/>
        </w:rPr>
        <w:t>седам</w:t>
      </w:r>
      <w:r w:rsidRPr="001D4868">
        <w:rPr>
          <w:rFonts w:ascii="Arial" w:eastAsia="Verdana" w:hAnsi="Arial" w:cs="Arial"/>
          <w:sz w:val="22"/>
        </w:rPr>
        <w:t xml:space="preserve"> андрагошких асистената.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Планирани буџет за реализацију активности основног образовања одраслих у основним школама, износи </w:t>
      </w:r>
      <w:r w:rsidRPr="001D4868">
        <w:rPr>
          <w:rFonts w:ascii="Arial" w:eastAsia="Verdana" w:hAnsi="Arial" w:cs="Arial"/>
          <w:b/>
          <w:sz w:val="22"/>
        </w:rPr>
        <w:t>775.672.000,00 динара</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Када говоримо о проширењу мреже школа за реализацију програма ФООО, верификацију за реализацију програма функционалног основног образовања одраслих, добила је основна школа </w:t>
      </w:r>
      <w:r>
        <w:rPr>
          <w:rFonts w:ascii="Arial" w:eastAsia="Verdana" w:hAnsi="Arial" w:cs="Arial"/>
          <w:sz w:val="22"/>
        </w:rPr>
        <w:t>"</w:t>
      </w:r>
      <w:r w:rsidRPr="001D4868">
        <w:rPr>
          <w:rFonts w:ascii="Arial" w:eastAsia="Verdana" w:hAnsi="Arial" w:cs="Arial"/>
          <w:sz w:val="22"/>
        </w:rPr>
        <w:t>Каролина Карац</w:t>
      </w:r>
      <w:r>
        <w:rPr>
          <w:rFonts w:ascii="Arial" w:eastAsia="Verdana" w:hAnsi="Arial" w:cs="Arial"/>
          <w:sz w:val="22"/>
        </w:rPr>
        <w:t>"</w:t>
      </w:r>
      <w:r w:rsidRPr="001D4868">
        <w:rPr>
          <w:rFonts w:ascii="Arial" w:eastAsia="Verdana" w:hAnsi="Arial" w:cs="Arial"/>
          <w:sz w:val="22"/>
        </w:rPr>
        <w:t xml:space="preserve"> из Хоргоша, у септембру 2024. године.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Списак основних школа које планирају реализацију програма ФООО, планирани број полазника, извор и оквирни обим средстава, дати су </w:t>
      </w:r>
      <w:r w:rsidRPr="001D4868">
        <w:rPr>
          <w:rFonts w:ascii="Arial" w:eastAsia="Verdana" w:hAnsi="Arial" w:cs="Arial"/>
          <w:i/>
          <w:sz w:val="22"/>
        </w:rPr>
        <w:t xml:space="preserve">у </w:t>
      </w:r>
      <w:r w:rsidRPr="001D4868">
        <w:rPr>
          <w:rFonts w:ascii="Arial" w:eastAsia="Verdana" w:hAnsi="Arial" w:cs="Arial"/>
          <w:b/>
          <w:sz w:val="22"/>
        </w:rPr>
        <w:t>Прилогу број 1.</w:t>
      </w:r>
      <w:r w:rsidRPr="001D4868">
        <w:rPr>
          <w:rFonts w:ascii="Arial" w:eastAsia="Verdana" w:hAnsi="Arial" w:cs="Arial"/>
          <w:sz w:val="22"/>
        </w:rPr>
        <w:t>који јеодштампан уз ГПОО за 2025. годину, и чини његов саставни део.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Списак основних школа које планирају реализацију програма ФООО у КПЗ и ВПД, планирани број полазника, извор и оквирни обим средстава, дати су </w:t>
      </w:r>
      <w:r w:rsidRPr="001D4868">
        <w:rPr>
          <w:rFonts w:ascii="Arial" w:eastAsia="Verdana" w:hAnsi="Arial" w:cs="Arial"/>
          <w:i/>
          <w:sz w:val="22"/>
        </w:rPr>
        <w:t>у</w:t>
      </w:r>
      <w:r w:rsidRPr="001D4868">
        <w:rPr>
          <w:rFonts w:ascii="Arial" w:eastAsia="Verdana" w:hAnsi="Arial" w:cs="Arial"/>
          <w:b/>
          <w:sz w:val="22"/>
        </w:rPr>
        <w:t xml:space="preserve">Прилогу број 2. </w:t>
      </w:r>
      <w:r w:rsidRPr="001D4868">
        <w:rPr>
          <w:rFonts w:ascii="Arial" w:eastAsia="Verdana" w:hAnsi="Arial" w:cs="Arial"/>
          <w:sz w:val="22"/>
        </w:rPr>
        <w:t>који је одштампан уз ГПОО за 2025. годину, и чини његов саставни део.</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i/>
          <w:sz w:val="22"/>
        </w:rPr>
        <w:t>1.2. Средње образовање одраслих (ванредни полазници средњег образовања, старији од 17 година)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2025. години, планира се реализација формалног средњег образовања одраслих на територији </w:t>
      </w:r>
      <w:r w:rsidRPr="001D4868">
        <w:rPr>
          <w:rFonts w:ascii="Arial" w:eastAsia="Verdana" w:hAnsi="Arial" w:cs="Arial"/>
          <w:b/>
          <w:sz w:val="22"/>
        </w:rPr>
        <w:t>16</w:t>
      </w:r>
      <w:r w:rsidRPr="001D4868">
        <w:rPr>
          <w:rFonts w:ascii="Arial" w:eastAsia="Verdana" w:hAnsi="Arial" w:cs="Arial"/>
          <w:sz w:val="22"/>
        </w:rPr>
        <w:t xml:space="preserve"> школских управа, у </w:t>
      </w:r>
      <w:r w:rsidRPr="001D4868">
        <w:rPr>
          <w:rFonts w:ascii="Arial" w:eastAsia="Verdana" w:hAnsi="Arial" w:cs="Arial"/>
          <w:b/>
          <w:sz w:val="22"/>
        </w:rPr>
        <w:t>114</w:t>
      </w:r>
      <w:r w:rsidRPr="001D4868">
        <w:rPr>
          <w:rFonts w:ascii="Arial" w:eastAsia="Verdana" w:hAnsi="Arial" w:cs="Arial"/>
          <w:sz w:val="22"/>
        </w:rPr>
        <w:t xml:space="preserve"> средњих школа. </w:t>
      </w:r>
      <w:r w:rsidRPr="001D4868">
        <w:rPr>
          <w:rFonts w:ascii="Arial" w:eastAsia="Verdana" w:hAnsi="Arial" w:cs="Arial"/>
          <w:i/>
          <w:sz w:val="22"/>
        </w:rPr>
        <w:t>У први разред</w:t>
      </w:r>
      <w:r w:rsidRPr="001D4868">
        <w:rPr>
          <w:rFonts w:ascii="Arial" w:eastAsia="Verdana" w:hAnsi="Arial" w:cs="Arial"/>
          <w:sz w:val="22"/>
        </w:rPr>
        <w:t xml:space="preserve"> средњег образовања планиран је упис у </w:t>
      </w:r>
      <w:r w:rsidRPr="001D4868">
        <w:rPr>
          <w:rFonts w:ascii="Arial" w:eastAsia="Verdana" w:hAnsi="Arial" w:cs="Arial"/>
          <w:b/>
          <w:sz w:val="22"/>
        </w:rPr>
        <w:t xml:space="preserve">55 </w:t>
      </w:r>
      <w:r w:rsidRPr="001D4868">
        <w:rPr>
          <w:rFonts w:ascii="Arial" w:eastAsia="Verdana" w:hAnsi="Arial" w:cs="Arial"/>
          <w:sz w:val="22"/>
        </w:rPr>
        <w:t xml:space="preserve">средњих школа за </w:t>
      </w:r>
      <w:r w:rsidRPr="001D4868">
        <w:rPr>
          <w:rFonts w:ascii="Arial" w:eastAsia="Verdana" w:hAnsi="Arial" w:cs="Arial"/>
          <w:b/>
          <w:sz w:val="22"/>
        </w:rPr>
        <w:t xml:space="preserve">148 </w:t>
      </w:r>
      <w:r w:rsidRPr="001D4868">
        <w:rPr>
          <w:rFonts w:ascii="Arial" w:eastAsia="Verdana" w:hAnsi="Arial" w:cs="Arial"/>
          <w:sz w:val="22"/>
        </w:rPr>
        <w:t>полазника, старијих од 17 година, у својству ванредних полазника средњег образовања. Реализација уписа одраслих полазника у овај ниво образовања је већ неколико година уназад веома ниска. Можемо приметити да са подручја неколико школских управа (ШУ Нови Сад, ШУ Сомбор, ШУ Крушевац и ШУ Ужице) нема ниједне средње школе која је планирала упис ванредних полазника средњег образовања, старијих од 17 година за школску 2024/2025. годину. Разлог оваквом опадајућем тренду је, претпостављамо, чињеница да су се проширили начини стицања квалификација кроз неформални систем, па људи напуштају формални систем и иду ка начинима за стицање квалификација који су за њих лично погоднији.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Укупна средства потребна за реализацију активности средњег образовања одраслих за школску 2024/2025. годину, износе </w:t>
      </w:r>
      <w:r w:rsidRPr="001D4868">
        <w:rPr>
          <w:rFonts w:ascii="Arial" w:eastAsia="Verdana" w:hAnsi="Arial" w:cs="Arial"/>
          <w:b/>
          <w:sz w:val="22"/>
        </w:rPr>
        <w:t>5.920.000,00 динара.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Списак средњих школа, планирани број полазника, извор и оквирни обим средстава, дати су </w:t>
      </w:r>
      <w:r w:rsidRPr="001D4868">
        <w:rPr>
          <w:rFonts w:ascii="Arial" w:eastAsia="Verdana" w:hAnsi="Arial" w:cs="Arial"/>
          <w:i/>
          <w:sz w:val="22"/>
        </w:rPr>
        <w:t xml:space="preserve">у </w:t>
      </w:r>
      <w:r w:rsidRPr="001D4868">
        <w:rPr>
          <w:rFonts w:ascii="Arial" w:eastAsia="Verdana" w:hAnsi="Arial" w:cs="Arial"/>
          <w:b/>
          <w:sz w:val="22"/>
        </w:rPr>
        <w:t>Прилогу број 3.</w:t>
      </w:r>
      <w:r w:rsidRPr="001D4868">
        <w:rPr>
          <w:rFonts w:ascii="Arial" w:eastAsia="Verdana" w:hAnsi="Arial" w:cs="Arial"/>
          <w:sz w:val="22"/>
        </w:rPr>
        <w:t>који јеодштампан уз ГПОО за 2025. годину, и чини његов саставни део.</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i/>
          <w:sz w:val="22"/>
        </w:rPr>
        <w:t>1.3. Преквалификацијe, доквалификације и специјализације одраслих у средњем образовању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Програми преквалификације, доквалификације и специјализације одраслих у средњем образовању, омогућавају одраслима бржи проналазак посла као и промену занимања у смислу проналаска жељеног и боље плаћеног посла.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оквиру Пројекта </w:t>
      </w:r>
      <w:r>
        <w:rPr>
          <w:rFonts w:ascii="Arial" w:eastAsia="Verdana" w:hAnsi="Arial" w:cs="Arial"/>
          <w:sz w:val="22"/>
        </w:rPr>
        <w:t>"</w:t>
      </w:r>
      <w:r w:rsidRPr="001D4868">
        <w:rPr>
          <w:rFonts w:ascii="Arial" w:eastAsia="Verdana" w:hAnsi="Arial" w:cs="Arial"/>
          <w:sz w:val="22"/>
        </w:rPr>
        <w:t>Подршка реформи дуалног система средњег стручног образовања и Националном оквиру квалификација у светлу целоживотног учења у Србији</w:t>
      </w:r>
      <w:r>
        <w:rPr>
          <w:rFonts w:ascii="Arial" w:eastAsia="Verdana" w:hAnsi="Arial" w:cs="Arial"/>
          <w:sz w:val="22"/>
        </w:rPr>
        <w:t>"</w:t>
      </w:r>
      <w:r w:rsidRPr="001D4868">
        <w:rPr>
          <w:rFonts w:ascii="Arial" w:eastAsia="Verdana" w:hAnsi="Arial" w:cs="Arial"/>
          <w:sz w:val="22"/>
        </w:rPr>
        <w:t xml:space="preserve"> Друштво за андрагогију Србије припремио је Анализу нормативног и институционалног оквира за реализацију програма ПДС са посебним акцентом на квалификације на нивоу 5. НОКС.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 xml:space="preserve">На темељу резултата и препорука наведене анализе одржан је округли сто под називом: Осигурање квалитета у спровођењу програма ПДС. Циљ је био дискусија на тему унапређивања система осигурања квалитета у формалном образовању одраслих са посебним акцентом на спровођење програма ПДС у стручним школама. Полазиште рада на округлом столу је био Европски оквир осигурања квалитета стручног образовања и обуке </w:t>
      </w:r>
      <w:r>
        <w:rPr>
          <w:rFonts w:ascii="Arial" w:eastAsia="Verdana" w:hAnsi="Arial" w:cs="Arial"/>
          <w:sz w:val="22"/>
        </w:rPr>
        <w:t>-</w:t>
      </w:r>
      <w:r w:rsidRPr="001D4868">
        <w:rPr>
          <w:rFonts w:ascii="Arial" w:eastAsia="Verdana" w:hAnsi="Arial" w:cs="Arial"/>
          <w:sz w:val="22"/>
        </w:rPr>
        <w:t xml:space="preserve"> EQAVET и успостављени систем осигурања квалитета у неформалном образовању кроз систем ЈПОА као и процена, у којој мери су наведени оквири осигурања квалитета, у овом тренутку, у примени у стручним школама приликом спровођења програма ПДС, односно да ли их је, и на који начин, могуће применити у будућности. Веома успешне презентације које су припремљене за уводни део од стране организатора и презентације припремљене од стране Медицинске школе Београд и Средње школе Кнез Александар Карађорђевић, биле су инспирација за разматрање неколико важних аспеката: EQAVET </w:t>
      </w:r>
      <w:r>
        <w:rPr>
          <w:rFonts w:ascii="Arial" w:eastAsia="Verdana" w:hAnsi="Arial" w:cs="Arial"/>
          <w:sz w:val="22"/>
        </w:rPr>
        <w:t>-</w:t>
      </w:r>
      <w:r w:rsidRPr="001D4868">
        <w:rPr>
          <w:rFonts w:ascii="Arial" w:eastAsia="Verdana" w:hAnsi="Arial" w:cs="Arial"/>
          <w:sz w:val="22"/>
        </w:rPr>
        <w:t xml:space="preserve"> стандарди и стандарди у систему осигурања квалитета у неформалном образовању (НФО, ППУ, КВиС) и колико су применљиви у систему ПДС.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оквиру урађенеАнализе нормативног и институционалног оквира за реализацију програма ПДС, дате су и одређене препоруке за унапређење тог оквира, а уједно су и смернице за план активности у домену унапређивања програма формалног образовања одраслих и стицања квалификација у оквиру формалног система, а оне су следеће:</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У стратешким документима дефинисати правце развоја, конкретне мере и активности за унапређивање програма формалног образовања одраслих и усагласити их са циљевима развоја неформалног образовања одраслих и ППУ;</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Креирати систем континуираног и систематског прикупљања података о систему образовања одраслих (формалног, неформалног и ППУ), система праћења и евалуације ефеката програма образовања и обучавања, како би се обезбедила релевантна аналитичка основа за унапређивање система образовања одраслих, а пре свега кроз успостављени Јединствен информациони систем (у даљем тексту: ЈИСП);</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Креирати јединствени оквир за систем образовања одраслих тако да нормативни, институционални оквир као и систем осигурања квалитета (стандарди, услови, процесуре, методологије и сл.) за формално и неформално образовање и активност ППУ буду јединствени и комплементарни, уместо дуалног система какав је сада успостављен;</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Усагласити законске норме које се односе на образовање одраслих у сектору образовања са јавним политикама и прописима из других сектора (нпр. запошљавање, саобраћај и сл.) којима су прописани одређени елементи система образовања одраслих релевантни за конкретну секторску политику;</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Креирати децентрализован, флексибилан, квалитетан, ефикасан, релевантан, на принципу поверења успостављен систем образовања одраслих оријентисан на образовне потребе укупног становништва, уместо централизованог система заснованог на supply-driven приступу, са системом предефинисања годишњих квота за одрасле, сходно процени угрожавања одвијања наставе редовних ученика;</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Систем финансирања ускладити тако да се приходи остварују по тржишним ценама, да постоје интерна акта која прописују дистрибуцију остварене добити, да не постоји ограничење за увећање плате из сопствених средстава до 30% како је сада прописано код неформалног образовања и активности ППУ;</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Унапредити нормативни оквир којим је прописан систем формалног образовања одраслих тако 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Уместо појмова преквалификације и доквалификације у систему формалног образовања одраслих потребно је користи термин стицање квалификације;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Омогућити приступ одраслима са 2 нивоом НОКС програмима формалног образовања одраслих </w:t>
      </w:r>
      <w:r>
        <w:rPr>
          <w:rFonts w:ascii="Arial" w:eastAsia="Verdana" w:hAnsi="Arial" w:cs="Arial"/>
          <w:sz w:val="22"/>
        </w:rPr>
        <w:t>-</w:t>
      </w:r>
      <w:r w:rsidRPr="001D4868">
        <w:rPr>
          <w:rFonts w:ascii="Arial" w:eastAsia="Verdana" w:hAnsi="Arial" w:cs="Arial"/>
          <w:sz w:val="22"/>
        </w:rPr>
        <w:t xml:space="preserve"> преквалификације и доквалификације;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Обезбедити да сви путеви за стицање квалификације буду препознати у Закону о НОКС, укључујући и формално образовање одраслих, односно програми преквалификације и доквалификације, као и у стандарду квалификације;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Предвидети доношење правилника о прилагођавању планова и програма наставе и учења за потребе система образовања одраслих усаглашеног са методолошким оквиром развоја програма обука на темељу стандарда квалификација. Наведени подзаконски акт представљао би основу за доношење интерних аката школа којима се ближе уређују питања рокови и начин полагања испита </w:t>
      </w:r>
      <w:r w:rsidRPr="001D4868">
        <w:rPr>
          <w:rFonts w:ascii="Arial" w:eastAsia="Verdana" w:hAnsi="Arial" w:cs="Arial"/>
          <w:sz w:val="22"/>
        </w:rPr>
        <w:lastRenderedPageBreak/>
        <w:t>одраслих полазника, права, обавезе и одговорности одраслих полазника, евиденција и издавање исправа одраслим полазницима и друга питања од значаја за реализацију програма формалног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Усагласити норме које се односе на издавање јавних исправа за програме формалног и неформалног образовања и поступка ППУ, тако да различити путеви за достизање исхода учења за целу квалификацију воде до исте јавне исправе и исти приступ вишим нивоима образовања.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Планом уписа ванредних полазника на програме ПДС за школску 2024/2025. годину, на основу предлога школа достављених од стране надлежних школских управа и увида у релевантност предлога на тржишту рада, Министарство просвете је дало сагласност на одређени број места за упис одраслих за конкретне образовне профиле за сваку школу. Одобрени број за упис одраслих у школској 2024/25. години, у </w:t>
      </w:r>
      <w:r w:rsidRPr="001D4868">
        <w:rPr>
          <w:rFonts w:ascii="Arial" w:eastAsia="Verdana" w:hAnsi="Arial" w:cs="Arial"/>
          <w:i/>
          <w:sz w:val="22"/>
        </w:rPr>
        <w:t>програме преквалификације</w:t>
      </w:r>
      <w:r w:rsidRPr="001D4868">
        <w:rPr>
          <w:rFonts w:ascii="Arial" w:eastAsia="Verdana" w:hAnsi="Arial" w:cs="Arial"/>
          <w:sz w:val="22"/>
        </w:rPr>
        <w:t xml:space="preserve"> је </w:t>
      </w:r>
      <w:r w:rsidRPr="001D4868">
        <w:rPr>
          <w:rFonts w:ascii="Arial" w:eastAsia="Verdana" w:hAnsi="Arial" w:cs="Arial"/>
          <w:b/>
          <w:sz w:val="22"/>
        </w:rPr>
        <w:t>11.276</w:t>
      </w:r>
      <w:r w:rsidRPr="001D4868">
        <w:rPr>
          <w:rFonts w:ascii="Arial" w:eastAsia="Verdana" w:hAnsi="Arial" w:cs="Arial"/>
          <w:sz w:val="22"/>
        </w:rPr>
        <w:t xml:space="preserve">, за програме </w:t>
      </w:r>
      <w:r w:rsidRPr="001D4868">
        <w:rPr>
          <w:rFonts w:ascii="Arial" w:eastAsia="Verdana" w:hAnsi="Arial" w:cs="Arial"/>
          <w:i/>
          <w:sz w:val="22"/>
        </w:rPr>
        <w:t>доквалификације</w:t>
      </w:r>
      <w:r w:rsidRPr="001D4868">
        <w:rPr>
          <w:rFonts w:ascii="Arial" w:eastAsia="Verdana" w:hAnsi="Arial" w:cs="Arial"/>
          <w:sz w:val="22"/>
        </w:rPr>
        <w:t xml:space="preserve"> </w:t>
      </w:r>
      <w:r w:rsidRPr="001D4868">
        <w:rPr>
          <w:rFonts w:ascii="Arial" w:eastAsia="Verdana" w:hAnsi="Arial" w:cs="Arial"/>
          <w:b/>
          <w:sz w:val="22"/>
        </w:rPr>
        <w:t>7.632</w:t>
      </w:r>
      <w:r w:rsidRPr="001D4868">
        <w:rPr>
          <w:rFonts w:ascii="Arial" w:eastAsia="Verdana" w:hAnsi="Arial" w:cs="Arial"/>
          <w:sz w:val="22"/>
        </w:rPr>
        <w:t xml:space="preserve"> и </w:t>
      </w:r>
      <w:r w:rsidRPr="001D4868">
        <w:rPr>
          <w:rFonts w:ascii="Arial" w:eastAsia="Verdana" w:hAnsi="Arial" w:cs="Arial"/>
          <w:i/>
          <w:sz w:val="22"/>
        </w:rPr>
        <w:t>специјализације</w:t>
      </w:r>
      <w:r w:rsidRPr="001D4868">
        <w:rPr>
          <w:rFonts w:ascii="Arial" w:eastAsia="Verdana" w:hAnsi="Arial" w:cs="Arial"/>
          <w:sz w:val="22"/>
        </w:rPr>
        <w:t xml:space="preserve"> </w:t>
      </w:r>
      <w:r w:rsidRPr="001D4868">
        <w:rPr>
          <w:rFonts w:ascii="Arial" w:eastAsia="Verdana" w:hAnsi="Arial" w:cs="Arial"/>
          <w:b/>
          <w:sz w:val="22"/>
        </w:rPr>
        <w:t>3.647</w:t>
      </w:r>
      <w:r w:rsidRPr="001D4868">
        <w:rPr>
          <w:rFonts w:ascii="Arial" w:eastAsia="Verdana" w:hAnsi="Arial" w:cs="Arial"/>
          <w:sz w:val="22"/>
        </w:rPr>
        <w:t xml:space="preserve"> одраслих полазника.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складу са тим, у 2025. години, планира се реализација ових програма на територији 1</w:t>
      </w:r>
      <w:r w:rsidRPr="001D4868">
        <w:rPr>
          <w:rFonts w:ascii="Arial" w:eastAsia="Verdana" w:hAnsi="Arial" w:cs="Arial"/>
          <w:b/>
          <w:sz w:val="22"/>
        </w:rPr>
        <w:t>6</w:t>
      </w:r>
      <w:r w:rsidRPr="001D4868">
        <w:rPr>
          <w:rFonts w:ascii="Arial" w:eastAsia="Verdana" w:hAnsi="Arial" w:cs="Arial"/>
          <w:sz w:val="22"/>
        </w:rPr>
        <w:t xml:space="preserve"> школских управа за укупно </w:t>
      </w:r>
      <w:r w:rsidRPr="001D4868">
        <w:rPr>
          <w:rFonts w:ascii="Arial" w:eastAsia="Verdana" w:hAnsi="Arial" w:cs="Arial"/>
          <w:b/>
          <w:sz w:val="22"/>
        </w:rPr>
        <w:t>22.555</w:t>
      </w:r>
      <w:r w:rsidRPr="001D4868">
        <w:rPr>
          <w:rFonts w:ascii="Arial" w:eastAsia="Verdana" w:hAnsi="Arial" w:cs="Arial"/>
          <w:sz w:val="22"/>
        </w:rPr>
        <w:t xml:space="preserve"> полазника. У укупном броју (увећање од 1% у односу на прошлу годину), и за сваку посебно, доквалификације (увећање од 3% у односу на прошлу годину) и специјализације (увећање од 4% у односу на прошлу годину) су у нешто већем обиму планиране у текућој школској години, него што је то било у претходној, сем за преквалификације (где је уочено мало умањење од 2% у односу на прошлу годину). Преквалификације, доквалификације и специјализације за школску 2024/2025. годину, по областима приказане су на </w:t>
      </w:r>
      <w:r w:rsidRPr="001D4868">
        <w:rPr>
          <w:rFonts w:ascii="Arial" w:eastAsia="Verdana" w:hAnsi="Arial" w:cs="Arial"/>
          <w:i/>
          <w:sz w:val="22"/>
        </w:rPr>
        <w:t>Графикону број 10.</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10</w:t>
      </w:r>
      <w:r w:rsidRPr="001D4868">
        <w:rPr>
          <w:rFonts w:ascii="Arial" w:eastAsia="Verdana" w:hAnsi="Arial" w:cs="Arial"/>
          <w:i/>
          <w:sz w:val="22"/>
        </w:rPr>
        <w:t>.</w:t>
      </w:r>
      <w:r w:rsidRPr="001D4868">
        <w:rPr>
          <w:rFonts w:ascii="Arial" w:eastAsia="Verdana" w:hAnsi="Arial" w:cs="Arial"/>
          <w:sz w:val="22"/>
        </w:rPr>
        <w:t xml:space="preserve"> </w:t>
      </w:r>
      <w:r w:rsidRPr="001D4868">
        <w:rPr>
          <w:rFonts w:ascii="Arial" w:eastAsia="Verdana" w:hAnsi="Arial" w:cs="Arial"/>
          <w:b/>
          <w:sz w:val="22"/>
        </w:rPr>
        <w:t>Преквалификације, доквалификације и специјализације за школску 2024/2025, по областима</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55968779" wp14:editId="0AD806BA">
            <wp:extent cx="5000000" cy="320183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QX2dLZSEAAAAASUVORK5CYII="/>
                    <pic:cNvPicPr/>
                  </pic:nvPicPr>
                  <pic:blipFill>
                    <a:blip r:embed="rId17" cstate="print">
                      <a:extLst/>
                    </a:blip>
                    <a:stretch>
                      <a:fillRect/>
                    </a:stretch>
                  </pic:blipFill>
                  <pic:spPr>
                    <a:xfrm>
                      <a:off x="0" y="0"/>
                      <a:ext cx="5000000" cy="3201834"/>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Највише тражени програми су из области Машинство и обрада метала, Здравство и социјална заштита, Саобраћај, Трговина, туризам и угоститељство и Електротехника где је у складу са тим и планиран највећи број кандидата на упис на програме ПДС. Треба напоменути да је већ пар година уназад тренд да ових пет области буду најпопуларније.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Списак средњих школа, планирани број полазника програма ПДС, дати су у </w:t>
      </w:r>
      <w:r w:rsidRPr="001D4868">
        <w:rPr>
          <w:rFonts w:ascii="Arial" w:eastAsia="Verdana" w:hAnsi="Arial" w:cs="Arial"/>
          <w:b/>
          <w:sz w:val="22"/>
        </w:rPr>
        <w:t>Прилогу број 4.</w:t>
      </w:r>
      <w:r w:rsidRPr="001D4868">
        <w:rPr>
          <w:rFonts w:ascii="Arial" w:eastAsia="Verdana" w:hAnsi="Arial" w:cs="Arial"/>
          <w:sz w:val="22"/>
        </w:rPr>
        <w:t xml:space="preserve"> који је одштампан уз ГПОО за 2025. годину, и чини његов саставни део</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i/>
          <w:sz w:val="22"/>
        </w:rPr>
        <w:t>1.4. Реализација активности образовања одраслих у Регионалним тренинг центрима у средњим стручним школама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Изменама и допунама Закона о дуалном образовању прописани су послови које обавља тренинг центар, затим правни основ за доношење акта Владе Републике Србије о школама које имају статус тренинг центра као и доношење подзаконског акта о ближим условима за стицање статуса тренинг центра. Наведеним актом прописано је да поред послова усмерених на развој и имплементацију дуалног система образовања, тренинг центри могу да реализују и активности образовања одраслих, односно да реализују обуке и практични рад за све активности образовања одраслих, да пружају услуге КВиС, као и да реализују обуке на захтев послодавца због потреба </w:t>
      </w:r>
      <w:r w:rsidRPr="001D4868">
        <w:rPr>
          <w:rFonts w:ascii="Arial" w:eastAsia="Verdana" w:hAnsi="Arial" w:cs="Arial"/>
          <w:sz w:val="22"/>
        </w:rPr>
        <w:lastRenderedPageBreak/>
        <w:t>технолошких промена у процесима рада и ради повећања конкурентности кроз развој нових технологија и иновација.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Канцеларија за дуално образовање и Национални оквир квалификација (у даљем тексту: КДОНОК) је у претходном периоду започела са успостављањем и изградњом тренинг центара широм Србије. У тренинг центрима, између осталог образоваће се млади у оквиру дуалног и класичног образовања, а реализоваће се и образовање одраслих (преквалификације, доквалификације, обуке), како бисмо ишли у корак са савременом привредом која континуирано захтева кадрове за своје пословање. Школе које имају статус тренинг центра доносе нову, развојну димензију у повезивању образовања и привреде, како у дуалном образовању и неформалном образовању одраслих, тако и у подизању капацитета самих послодаваца и организацији обука на захтев и у складу са потребама послодавца. Поред ученика школе у којој је формиран тренинг центар, капацитете тренинг центара моћи ће да користе и друге школе које реализују дуалне образовне профиле у случају да учење кроз рад не могу да реализују код послодавца, као и када не могу да се реализују сви исходи учења из стандарда квалификације код послодавца. Предност ће се огледати и у могућности да се у њима реализују студијски програми ван седишта високошколске установе, што ће младима омогућити не само да се образују у свом месту на нивоу високог образовања, него и да се ту запосле.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До сада су успостављени тренинг центри у оквиру Техничке школе у Ваљеву и Ваздухопловне академије </w:t>
      </w:r>
      <w:r>
        <w:rPr>
          <w:rFonts w:ascii="Arial" w:eastAsia="Verdana" w:hAnsi="Arial" w:cs="Arial"/>
          <w:sz w:val="22"/>
        </w:rPr>
        <w:t>-</w:t>
      </w:r>
      <w:r w:rsidRPr="001D4868">
        <w:rPr>
          <w:rFonts w:ascii="Arial" w:eastAsia="Verdana" w:hAnsi="Arial" w:cs="Arial"/>
          <w:sz w:val="22"/>
        </w:rPr>
        <w:t xml:space="preserve"> Београд и Вршац. Започети су радови на тренинг центрима у Ужицу, Врању, Пожеги, Суботици, док су започети радови на тренинг центру у Власотинцу завршени у децембру 2024. године, а у Панчеву ће бити завршени радови у јануару 2025. године.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наредном периоду планирано је успостављање и тренинг центара у Свилајнцу, Крагујевцу, Чачку, Нишу и Кули.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1. Неформални систем образовања и обучавања одраслих </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1.1. Реализација програма и стицања компетенција и квалификација запослених и незапослених лица код ЈПОА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Образовни систем Републике Србије омогућава одраслима да квалификацију стекну </w:t>
      </w:r>
      <w:r w:rsidRPr="001D4868">
        <w:rPr>
          <w:rFonts w:ascii="Arial" w:eastAsia="Verdana" w:hAnsi="Arial" w:cs="Arial"/>
          <w:b/>
          <w:sz w:val="22"/>
        </w:rPr>
        <w:t>неформалним путем,</w:t>
      </w:r>
      <w:r w:rsidRPr="001D4868">
        <w:rPr>
          <w:rFonts w:ascii="Arial" w:eastAsia="Verdana" w:hAnsi="Arial" w:cs="Arial"/>
          <w:sz w:val="22"/>
        </w:rPr>
        <w:t xml:space="preserve"> кроз систем обучавања код</w:t>
      </w:r>
      <w:r w:rsidRPr="001D4868">
        <w:rPr>
          <w:rFonts w:ascii="Arial" w:eastAsia="Verdana" w:hAnsi="Arial" w:cs="Arial"/>
          <w:b/>
          <w:sz w:val="22"/>
        </w:rPr>
        <w:t xml:space="preserve"> ЈПОА.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Кроз поступак неформалног образовања одраслих којим се унапређују знања, вештине и способности, ради личног или професионалног развоја или друштвено одговорног понашања, пружање услуга КВиС и активности признавања претходног учења, у наредној години, планирана је реализација 484 акредитована програма, за оквирно 11.000 полазника.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Када је реч о школама, оне су планирале реализацију 81 програма, а друге организације планирају реализацију 403 програма обука.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Највећи број планираних програма ЈПОА је у областима: Здравство и социјална заштита (17%), Грађевинарство (14%), Страни језици (12%), Машинство и обрада метала (10%), Економија, право и администрација (9%), Личне услуге (8%), Саобраћај (5%), Трговина, угоститељство и туризам (5%), Електротехника (5%), ИКТ (4%), Шумарство и обрада дрвета (3.3%), Безбедност и здрави услови рада (3%) и Пољопривреда, производња и прерада хране (2%). Планирани програми обука код ЈПОА по областима рада за 2025. годину, приказани су на </w:t>
      </w:r>
      <w:r w:rsidRPr="001D4868">
        <w:rPr>
          <w:rFonts w:ascii="Arial" w:eastAsia="Verdana" w:hAnsi="Arial" w:cs="Arial"/>
          <w:i/>
          <w:sz w:val="22"/>
        </w:rPr>
        <w:t>Графикону број 11.</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Графикон број 11.Планирани програми обука код ЈПОА по областима рада за 2025. годину </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lastRenderedPageBreak/>
        <w:drawing>
          <wp:inline distT="0" distB="0" distL="0" distR="0" wp14:anchorId="1C86B1EA" wp14:editId="76641527">
            <wp:extent cx="5000000" cy="263302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5heN7n3IAAAAAElFTkSuQmCC"/>
                    <pic:cNvPicPr/>
                  </pic:nvPicPr>
                  <pic:blipFill>
                    <a:blip r:embed="rId18" cstate="print">
                      <a:extLst/>
                    </a:blip>
                    <a:stretch>
                      <a:fillRect/>
                    </a:stretch>
                  </pic:blipFill>
                  <pic:spPr>
                    <a:xfrm>
                      <a:off x="0" y="0"/>
                      <a:ext cx="5000000" cy="2633027"/>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Aнализом података из годишњих планова образовања одраслих у протеклих шест година, уочава се континуирано повећање броја обука ЈПОА из области: Здравство и социјална заштита (309), Грађевинарство (279), Машинство и обрада метала (216), Страни језици (220), Саобраћај (120) и Економија, право и администрација (140). Планирани програми обука код ЈПОА по областима рада у периоду 2020</w:t>
      </w:r>
      <w:r>
        <w:rPr>
          <w:rFonts w:ascii="Arial" w:eastAsia="Verdana" w:hAnsi="Arial" w:cs="Arial"/>
          <w:sz w:val="22"/>
        </w:rPr>
        <w:t>-</w:t>
      </w:r>
      <w:r w:rsidRPr="001D4868">
        <w:rPr>
          <w:rFonts w:ascii="Arial" w:eastAsia="Verdana" w:hAnsi="Arial" w:cs="Arial"/>
          <w:sz w:val="22"/>
        </w:rPr>
        <w:t xml:space="preserve">2025. приказани су на </w:t>
      </w:r>
      <w:r w:rsidRPr="001D4868">
        <w:rPr>
          <w:rFonts w:ascii="Arial" w:eastAsia="Verdana" w:hAnsi="Arial" w:cs="Arial"/>
          <w:i/>
          <w:sz w:val="22"/>
        </w:rPr>
        <w:t>Графикону број 12.</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12.Планирани програми обука код ЈПОА по областима рада у периоду 2020</w:t>
      </w:r>
      <w:r>
        <w:rPr>
          <w:rFonts w:ascii="Arial" w:eastAsia="Verdana" w:hAnsi="Arial" w:cs="Arial"/>
          <w:b/>
          <w:sz w:val="22"/>
        </w:rPr>
        <w:t>-</w:t>
      </w:r>
      <w:r w:rsidRPr="001D4868">
        <w:rPr>
          <w:rFonts w:ascii="Arial" w:eastAsia="Verdana" w:hAnsi="Arial" w:cs="Arial"/>
          <w:b/>
          <w:sz w:val="22"/>
        </w:rPr>
        <w:t>2025.</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788C6D61" wp14:editId="3E4D17F3">
            <wp:extent cx="5000000" cy="3155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8D28xx9MN1SGwAAAAASUVORK5CYII="/>
                    <pic:cNvPicPr/>
                  </pic:nvPicPr>
                  <pic:blipFill>
                    <a:blip r:embed="rId19" cstate="print">
                      <a:extLst/>
                    </a:blip>
                    <a:stretch>
                      <a:fillRect/>
                    </a:stretch>
                  </pic:blipFill>
                  <pic:spPr>
                    <a:xfrm>
                      <a:off x="0" y="0"/>
                      <a:ext cx="5000000" cy="3155963"/>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Према прикупљеним подацима очекивани полазници планираних обука код ЈПОА у 2025. години, највећим делом су: физичка лица (32%) </w:t>
      </w:r>
      <w:r>
        <w:rPr>
          <w:rFonts w:ascii="Arial" w:eastAsia="Verdana" w:hAnsi="Arial" w:cs="Arial"/>
          <w:sz w:val="22"/>
        </w:rPr>
        <w:t>-</w:t>
      </w:r>
      <w:r w:rsidRPr="001D4868">
        <w:rPr>
          <w:rFonts w:ascii="Arial" w:eastAsia="Verdana" w:hAnsi="Arial" w:cs="Arial"/>
          <w:sz w:val="22"/>
        </w:rPr>
        <w:t xml:space="preserve"> што је 5% мање у односу на План за 2024. годину; лица евидентирана код НСЗ </w:t>
      </w:r>
      <w:r>
        <w:rPr>
          <w:rFonts w:ascii="Arial" w:eastAsia="Verdana" w:hAnsi="Arial" w:cs="Arial"/>
          <w:sz w:val="22"/>
        </w:rPr>
        <w:t>-</w:t>
      </w:r>
      <w:r w:rsidRPr="001D4868">
        <w:rPr>
          <w:rFonts w:ascii="Arial" w:eastAsia="Verdana" w:hAnsi="Arial" w:cs="Arial"/>
          <w:sz w:val="22"/>
        </w:rPr>
        <w:t xml:space="preserve"> незапослена лица (26%); правна лица са којима ЈПОА има већ остварену сарадњу (18%) </w:t>
      </w:r>
      <w:r>
        <w:rPr>
          <w:rFonts w:ascii="Arial" w:eastAsia="Verdana" w:hAnsi="Arial" w:cs="Arial"/>
          <w:sz w:val="22"/>
        </w:rPr>
        <w:t>-</w:t>
      </w:r>
      <w:r w:rsidRPr="001D4868">
        <w:rPr>
          <w:rFonts w:ascii="Arial" w:eastAsia="Verdana" w:hAnsi="Arial" w:cs="Arial"/>
          <w:sz w:val="22"/>
        </w:rPr>
        <w:t xml:space="preserve"> што је за 2% више у односу на прошлу годину; запослена лица која желе да се усавршавају за потребе предузећа (19%) што је за 5.7% више у односу на 2024. годину, млади до 30 година (3%), социјално угрожене групе (1.4%), и др.</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Предвиђени извори средстава за реализацију програма у наредној години, а које наводе друге организације и школе су: сопствена средства кандидата (47.4%), средства институција и организација из које полазници долазе на обуке (31%), средства НСЗ (18%), Покрајинска влада и министарства (2%), локална самоуправа (1.5%), Уочава се: да су сопствена средства кандидата највећим делом извор финансирања за обучавање код ЈПОА и поред смањења за (5.6%) у односу на 2024. годину; да се број обука које финансирају послодавци за стручно оспособљавање и усавршавање заспослених повећао за 8.5% у односу на 2024. годину, као и да се планирање средстава за реализацију програма обука у 2025. години, из НСЗ повећало за 3%. Извор </w:t>
      </w:r>
      <w:r w:rsidRPr="001D4868">
        <w:rPr>
          <w:rFonts w:ascii="Arial" w:eastAsia="Verdana" w:hAnsi="Arial" w:cs="Arial"/>
          <w:sz w:val="22"/>
        </w:rPr>
        <w:lastRenderedPageBreak/>
        <w:t>финансирања акредитованих програма планираних за 2025. годину, приказан је на</w:t>
      </w:r>
      <w:r w:rsidRPr="001D4868">
        <w:rPr>
          <w:rFonts w:ascii="Arial" w:eastAsia="Verdana" w:hAnsi="Arial" w:cs="Arial"/>
          <w:i/>
          <w:sz w:val="22"/>
        </w:rPr>
        <w:t xml:space="preserve"> Графикону број 13.</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Графикон број 13</w:t>
      </w:r>
      <w:r w:rsidRPr="001D4868">
        <w:rPr>
          <w:rFonts w:ascii="Arial" w:eastAsia="Verdana" w:hAnsi="Arial" w:cs="Arial"/>
          <w:i/>
          <w:sz w:val="22"/>
        </w:rPr>
        <w:t xml:space="preserve">. </w:t>
      </w:r>
      <w:r w:rsidRPr="001D4868">
        <w:rPr>
          <w:rFonts w:ascii="Arial" w:eastAsia="Verdana" w:hAnsi="Arial" w:cs="Arial"/>
          <w:b/>
          <w:sz w:val="22"/>
        </w:rPr>
        <w:t>Извор финансирања акредитованих програма планираних за 2025. годину</w:t>
      </w:r>
    </w:p>
    <w:p w:rsidR="001D4868" w:rsidRPr="001D4868" w:rsidRDefault="001D4868" w:rsidP="001D4868">
      <w:pPr>
        <w:spacing w:before="120" w:after="120" w:line="137" w:lineRule="atLeast"/>
        <w:contextualSpacing w:val="0"/>
        <w:rPr>
          <w:rFonts w:ascii="Arial" w:hAnsi="Arial" w:cs="Arial"/>
        </w:rPr>
      </w:pPr>
      <w:r w:rsidRPr="001D4868">
        <w:rPr>
          <w:rFonts w:ascii="Arial" w:eastAsia="Verdana" w:hAnsi="Arial" w:cs="Arial"/>
        </w:rPr>
        <w:drawing>
          <wp:inline distT="0" distB="0" distL="0" distR="0" wp14:anchorId="2E9CACE8" wp14:editId="4BA1FBC6">
            <wp:extent cx="5000000" cy="128440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ElFTkSuQmCC"/>
                    <pic:cNvPicPr/>
                  </pic:nvPicPr>
                  <pic:blipFill>
                    <a:blip r:embed="rId20" cstate="print">
                      <a:extLst/>
                    </a:blip>
                    <a:stretch>
                      <a:fillRect/>
                    </a:stretch>
                  </pic:blipFill>
                  <pic:spPr>
                    <a:xfrm>
                      <a:off x="0" y="0"/>
                      <a:ext cx="5000000" cy="1284403"/>
                    </a:xfrm>
                    <a:prstGeom prst="rect">
                      <a:avLst/>
                    </a:prstGeom>
                  </pic:spPr>
                </pic:pic>
              </a:graphicData>
            </a:graphic>
          </wp:inline>
        </w:drawing>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Јавно признати организатори образовања одраслих планирају за 2025. годину, реализацију практичног дела обуке у простору који одговара потребама полазника и програма, пре свега у школским радионицама, полигонима, специјализованим школским кабинетима, ресторанима и у седишту својих предузећа (56%). Остали ЈПОА реализацију практичног дела обуке планирају у предузећима са којима имају уговор о сарадњи, закупу простора или уговор о коришћењу полигона за реализацију практичног дела обуке (41%) као и онлајн наставом (2%).</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Проширену делатност за активност ППУ добиле су школе ЈПОА: Политехничка школа из Суботице, Техничка школа из Власотинца, Техничка школа </w:t>
      </w:r>
      <w:r>
        <w:rPr>
          <w:rFonts w:ascii="Arial" w:eastAsia="Verdana" w:hAnsi="Arial" w:cs="Arial"/>
          <w:sz w:val="22"/>
        </w:rPr>
        <w:t>"</w:t>
      </w:r>
      <w:r w:rsidRPr="001D4868">
        <w:rPr>
          <w:rFonts w:ascii="Arial" w:eastAsia="Verdana" w:hAnsi="Arial" w:cs="Arial"/>
          <w:sz w:val="22"/>
        </w:rPr>
        <w:t>Дрво арт</w:t>
      </w:r>
      <w:r>
        <w:rPr>
          <w:rFonts w:ascii="Arial" w:eastAsia="Verdana" w:hAnsi="Arial" w:cs="Arial"/>
          <w:sz w:val="22"/>
        </w:rPr>
        <w:t>"</w:t>
      </w:r>
      <w:r w:rsidRPr="001D4868">
        <w:rPr>
          <w:rFonts w:ascii="Arial" w:eastAsia="Verdana" w:hAnsi="Arial" w:cs="Arial"/>
          <w:sz w:val="22"/>
        </w:rPr>
        <w:t xml:space="preserve"> из Београда, Угоститељско туристичка школа из Чајетине, Техничка школа из Пожеге, Техничка школа из Ваљева и Економско-трговинска школа из Зајечара за укупно 20 квалификација.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Кроз стандардизовани поступак, провераваће се да ли кандидати имају потребна знања и вештине за квалификације: Зидар, Армирач</w:t>
      </w:r>
      <w:r>
        <w:rPr>
          <w:rFonts w:ascii="Arial" w:eastAsia="Verdana" w:hAnsi="Arial" w:cs="Arial"/>
          <w:sz w:val="22"/>
        </w:rPr>
        <w:t>-</w:t>
      </w:r>
      <w:r w:rsidRPr="001D4868">
        <w:rPr>
          <w:rFonts w:ascii="Arial" w:eastAsia="Verdana" w:hAnsi="Arial" w:cs="Arial"/>
          <w:sz w:val="22"/>
        </w:rPr>
        <w:t>бетонирац, Тесар, Руковалац грађевинском механизацијом, Столар, Модни кројач, Кувар, Бравар-заваривач, Пословни секретар, Оператер машинске обраде резањем и Електричар.</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Наведене школе планирају реализацију активности ППУ у 2025. години, кроз стицање квалификације за 132 кандидата, из областима рада: Геодезија и грађевинарство, Машинство и обрада метала, Шумарство и обрада дрвета, Економија, право и администрација, Трговина угоститељство и туризам, Електротехника и Текстилство. Потенцијални кандидати су физичка лица, незапослени и запослени у привредним друштвима, док се као извор финансирања, планирају сопствена средства кандидата и средства компанија.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За услуге КВиС-а, статус ЈПОА-а, има 15 установа/организација, за укупно 19 програма. У 2025. години, планира се реализација 13 програма (Програм каријерног саветовања за одговорно и континуирано управљање каријером, Професионална оријентација, Програм услуга каријерног вођења и саветовања, Програм каријерног вођења и саветовања младих из осетљивих друштвених група за бољу интеграцију на тржиште рада, Програм услуга каријерног вођења и саветовања </w:t>
      </w:r>
      <w:r>
        <w:rPr>
          <w:rFonts w:ascii="Arial" w:eastAsia="Verdana" w:hAnsi="Arial" w:cs="Arial"/>
          <w:sz w:val="22"/>
        </w:rPr>
        <w:t>"</w:t>
      </w:r>
      <w:r w:rsidRPr="001D4868">
        <w:rPr>
          <w:rFonts w:ascii="Arial" w:eastAsia="Verdana" w:hAnsi="Arial" w:cs="Arial"/>
          <w:sz w:val="22"/>
        </w:rPr>
        <w:t>Знањем до посла</w:t>
      </w:r>
      <w:r>
        <w:rPr>
          <w:rFonts w:ascii="Arial" w:eastAsia="Verdana" w:hAnsi="Arial" w:cs="Arial"/>
          <w:sz w:val="22"/>
        </w:rPr>
        <w:t>"</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Job info centar, Програм предузетничког запошљавања младих) за оквирно 700 кандидата.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Програме планирају да реализују акредитоване установе/организације: Европски покрет у Србији из Лесковца (за општине на југу Србије); Фондација </w:t>
      </w:r>
      <w:r>
        <w:rPr>
          <w:rFonts w:ascii="Arial" w:eastAsia="Verdana" w:hAnsi="Arial" w:cs="Arial"/>
          <w:sz w:val="22"/>
        </w:rPr>
        <w:t>"</w:t>
      </w:r>
      <w:r w:rsidRPr="001D4868">
        <w:rPr>
          <w:rFonts w:ascii="Arial" w:eastAsia="Verdana" w:hAnsi="Arial" w:cs="Arial"/>
          <w:sz w:val="22"/>
        </w:rPr>
        <w:t>СОС Дечија села Србија</w:t>
      </w:r>
      <w:r>
        <w:rPr>
          <w:rFonts w:ascii="Arial" w:eastAsia="Verdana" w:hAnsi="Arial" w:cs="Arial"/>
          <w:sz w:val="22"/>
        </w:rPr>
        <w:t>"</w:t>
      </w:r>
      <w:r w:rsidRPr="001D4868">
        <w:rPr>
          <w:rFonts w:ascii="Arial" w:eastAsia="Verdana" w:hAnsi="Arial" w:cs="Arial"/>
          <w:sz w:val="22"/>
        </w:rPr>
        <w:t xml:space="preserve"> из Београда; Удружење грађана </w:t>
      </w:r>
      <w:r>
        <w:rPr>
          <w:rFonts w:ascii="Arial" w:eastAsia="Verdana" w:hAnsi="Arial" w:cs="Arial"/>
          <w:sz w:val="22"/>
        </w:rPr>
        <w:t>"</w:t>
      </w:r>
      <w:r w:rsidRPr="001D4868">
        <w:rPr>
          <w:rFonts w:ascii="Arial" w:eastAsia="Verdana" w:hAnsi="Arial" w:cs="Arial"/>
          <w:sz w:val="22"/>
        </w:rPr>
        <w:t>Тимочки клуб</w:t>
      </w:r>
      <w:r>
        <w:rPr>
          <w:rFonts w:ascii="Arial" w:eastAsia="Verdana" w:hAnsi="Arial" w:cs="Arial"/>
          <w:sz w:val="22"/>
        </w:rPr>
        <w:t>"</w:t>
      </w:r>
      <w:r w:rsidRPr="001D4868">
        <w:rPr>
          <w:rFonts w:ascii="Arial" w:eastAsia="Verdana" w:hAnsi="Arial" w:cs="Arial"/>
          <w:sz w:val="22"/>
        </w:rPr>
        <w:t xml:space="preserve"> из Књажевца (за Зајечарски округ); Развојни бизнис центар из Крагујевца; Бискупијски Каритас из Зрењанина; Удружење психолога из Новог Пазара; Удружење Светлост из Шапца; Удружење </w:t>
      </w:r>
      <w:r>
        <w:rPr>
          <w:rFonts w:ascii="Arial" w:eastAsia="Verdana" w:hAnsi="Arial" w:cs="Arial"/>
          <w:sz w:val="22"/>
        </w:rPr>
        <w:t>"</w:t>
      </w:r>
      <w:r w:rsidRPr="001D4868">
        <w:rPr>
          <w:rFonts w:ascii="Arial" w:eastAsia="Verdana" w:hAnsi="Arial" w:cs="Arial"/>
          <w:sz w:val="22"/>
        </w:rPr>
        <w:t>Форум цивилне акције ФОРЦА</w:t>
      </w:r>
      <w:r>
        <w:rPr>
          <w:rFonts w:ascii="Arial" w:eastAsia="Verdana" w:hAnsi="Arial" w:cs="Arial"/>
          <w:sz w:val="22"/>
        </w:rPr>
        <w:t>"</w:t>
      </w:r>
      <w:r w:rsidRPr="001D4868">
        <w:rPr>
          <w:rFonts w:ascii="Arial" w:eastAsia="Verdana" w:hAnsi="Arial" w:cs="Arial"/>
          <w:sz w:val="22"/>
        </w:rPr>
        <w:t xml:space="preserve"> из Пожеге; Удружење </w:t>
      </w:r>
      <w:r>
        <w:rPr>
          <w:rFonts w:ascii="Arial" w:eastAsia="Verdana" w:hAnsi="Arial" w:cs="Arial"/>
          <w:sz w:val="22"/>
        </w:rPr>
        <w:t>"</w:t>
      </w:r>
      <w:r w:rsidRPr="001D4868">
        <w:rPr>
          <w:rFonts w:ascii="Arial" w:eastAsia="Verdana" w:hAnsi="Arial" w:cs="Arial"/>
          <w:sz w:val="22"/>
        </w:rPr>
        <w:t>ENECA</w:t>
      </w:r>
      <w:r>
        <w:rPr>
          <w:rFonts w:ascii="Arial" w:eastAsia="Verdana" w:hAnsi="Arial" w:cs="Arial"/>
          <w:sz w:val="22"/>
        </w:rPr>
        <w:t>"</w:t>
      </w:r>
      <w:r w:rsidRPr="001D4868">
        <w:rPr>
          <w:rFonts w:ascii="Arial" w:eastAsia="Verdana" w:hAnsi="Arial" w:cs="Arial"/>
          <w:sz w:val="22"/>
        </w:rPr>
        <w:t xml:space="preserve"> из Ниша; Београдска отворена школа; </w:t>
      </w:r>
      <w:r>
        <w:rPr>
          <w:rFonts w:ascii="Arial" w:eastAsia="Verdana" w:hAnsi="Arial" w:cs="Arial"/>
          <w:sz w:val="22"/>
        </w:rPr>
        <w:t>"</w:t>
      </w:r>
      <w:r w:rsidRPr="001D4868">
        <w:rPr>
          <w:rFonts w:ascii="Arial" w:eastAsia="Verdana" w:hAnsi="Arial" w:cs="Arial"/>
          <w:sz w:val="22"/>
        </w:rPr>
        <w:t>EDEPA-Institute for education personal development &amp; parentship</w:t>
      </w:r>
      <w:r>
        <w:rPr>
          <w:rFonts w:ascii="Arial" w:eastAsia="Verdana" w:hAnsi="Arial" w:cs="Arial"/>
          <w:sz w:val="22"/>
        </w:rPr>
        <w:t>"</w:t>
      </w:r>
      <w:r w:rsidRPr="001D4868">
        <w:rPr>
          <w:rFonts w:ascii="Arial" w:eastAsia="Verdana" w:hAnsi="Arial" w:cs="Arial"/>
          <w:sz w:val="22"/>
        </w:rPr>
        <w:t xml:space="preserve"> из Београда и </w:t>
      </w:r>
      <w:r>
        <w:rPr>
          <w:rFonts w:ascii="Arial" w:eastAsia="Verdana" w:hAnsi="Arial" w:cs="Arial"/>
          <w:sz w:val="22"/>
        </w:rPr>
        <w:t>"</w:t>
      </w:r>
      <w:r w:rsidRPr="001D4868">
        <w:rPr>
          <w:rFonts w:ascii="Arial" w:eastAsia="Verdana" w:hAnsi="Arial" w:cs="Arial"/>
          <w:sz w:val="22"/>
        </w:rPr>
        <w:t>Божидарац Дигитал</w:t>
      </w:r>
      <w:r>
        <w:rPr>
          <w:rFonts w:ascii="Arial" w:eastAsia="Verdana" w:hAnsi="Arial" w:cs="Arial"/>
          <w:sz w:val="22"/>
        </w:rPr>
        <w:t>"</w:t>
      </w:r>
      <w:r w:rsidRPr="001D4868">
        <w:rPr>
          <w:rFonts w:ascii="Arial" w:eastAsia="Verdana" w:hAnsi="Arial" w:cs="Arial"/>
          <w:sz w:val="22"/>
        </w:rPr>
        <w:t xml:space="preserve"> из Београда.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Кориснике програма у 2025. години, младе узраста од 18 до 30 година који имају потребу за подршком за управљање каријером, ученике завршних година средњих школа и гимназија, појединце који жели додатно неформално образовање као и додатно усавршавање, рад на професионалном и личном развоју, незапослена одрасла лица, тражиоце азила, лица која желе да промене тренутни радни ангажман, младе старости од 18 до 30 година који долазе из осетљивих друштвених група који се припремају за осамостаљивање и средње школе, потенцијално би финансирали међународни донатори, компаније, НСЗ, Niras Germany GmbH, Пројекат Е2Е, Аустријска развојна агенција, Министарство туризма и омладине, донаторска средства као и сопствена средства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 xml:space="preserve">Детаљнији план реализације програма ЈПОА у 2025. години, налази се </w:t>
      </w:r>
      <w:r w:rsidRPr="001D4868">
        <w:rPr>
          <w:rFonts w:ascii="Arial" w:eastAsia="Verdana" w:hAnsi="Arial" w:cs="Arial"/>
          <w:i/>
          <w:sz w:val="22"/>
        </w:rPr>
        <w:t xml:space="preserve">у </w:t>
      </w:r>
      <w:r w:rsidRPr="001D4868">
        <w:rPr>
          <w:rFonts w:ascii="Arial" w:eastAsia="Verdana" w:hAnsi="Arial" w:cs="Arial"/>
          <w:b/>
          <w:sz w:val="22"/>
        </w:rPr>
        <w:t xml:space="preserve">Прилогу број 5. </w:t>
      </w:r>
      <w:r w:rsidRPr="001D4868">
        <w:rPr>
          <w:rFonts w:ascii="Arial" w:eastAsia="Verdana" w:hAnsi="Arial" w:cs="Arial"/>
          <w:sz w:val="22"/>
        </w:rPr>
        <w:t>који је одштампан уз ГПОО за 2025. годину, и чини његов саставни део.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1.2. Реализација програма и других активности неформалног образовања и обучавања одраслих у организацији НСЗ, други државних органа и установа, удружења и комора, а у оквиру којих незапослена и запослена лица стичу компетенције од важности за лични и професионални развој, запошљавање, одржање запослења и каријерно напредовање, као и управљање каријером и доношење одлука о даљем образовању и запошљавању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Своје планове за 2025. годину, доставиле су следеће институције</w:t>
      </w:r>
      <w:r w:rsidRPr="001D4868">
        <w:rPr>
          <w:rFonts w:ascii="Arial" w:eastAsia="Verdana" w:hAnsi="Arial" w:cs="Arial"/>
          <w:b/>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Министарствo за рад, запошљавање, борачка и социјална питања и Национална служба за запошљавање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складу са </w:t>
      </w:r>
      <w:r w:rsidRPr="001D4868">
        <w:rPr>
          <w:rFonts w:ascii="Arial" w:eastAsia="Verdana" w:hAnsi="Arial" w:cs="Arial"/>
          <w:b/>
          <w:sz w:val="22"/>
        </w:rPr>
        <w:t>Акционим планом за период од 2024. до 2026. године, за спровођење Стратегије запошљавања у Републици Србији за период од 2021. до 2026. године</w:t>
      </w:r>
      <w:r w:rsidRPr="001D4868">
        <w:rPr>
          <w:rFonts w:ascii="Arial" w:eastAsia="Verdana" w:hAnsi="Arial" w:cs="Arial"/>
          <w:sz w:val="22"/>
        </w:rPr>
        <w:t>, у периоду 2024-2026. година, планирана је реализација следећих мера додатног образовања и обуке: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Стручна пракса, </w:t>
      </w:r>
      <w:r w:rsidRPr="001D4868">
        <w:rPr>
          <w:rFonts w:ascii="Arial" w:eastAsia="Verdana" w:hAnsi="Arial" w:cs="Arial"/>
          <w:sz w:val="22"/>
        </w:rPr>
        <w:t xml:space="preserve">са пројектованим обухватомукључивања 2000 незапослених лица у 2025. години. Додатни број незапослених ће бити укључен кроз Програм </w:t>
      </w:r>
      <w:r>
        <w:rPr>
          <w:rFonts w:ascii="Arial" w:eastAsia="Verdana" w:hAnsi="Arial" w:cs="Arial"/>
          <w:sz w:val="22"/>
        </w:rPr>
        <w:t>"</w:t>
      </w:r>
      <w:r w:rsidRPr="001D4868">
        <w:rPr>
          <w:rFonts w:ascii="Arial" w:eastAsia="Verdana" w:hAnsi="Arial" w:cs="Arial"/>
          <w:sz w:val="22"/>
        </w:rPr>
        <w:t>Гаранција за младе</w:t>
      </w:r>
      <w:r>
        <w:rPr>
          <w:rFonts w:ascii="Arial" w:eastAsia="Verdana" w:hAnsi="Arial" w:cs="Arial"/>
          <w:sz w:val="22"/>
        </w:rPr>
        <w:t>"</w:t>
      </w:r>
      <w:r w:rsidRPr="001D4868">
        <w:rPr>
          <w:rFonts w:ascii="Arial" w:eastAsia="Verdana" w:hAnsi="Arial" w:cs="Arial"/>
          <w:sz w:val="22"/>
        </w:rPr>
        <w:t xml:space="preserve"> и друге пројектне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Приправништво за младе, </w:t>
      </w:r>
      <w:r w:rsidRPr="001D4868">
        <w:rPr>
          <w:rFonts w:ascii="Arial" w:eastAsia="Verdana" w:hAnsi="Arial" w:cs="Arial"/>
          <w:sz w:val="22"/>
        </w:rPr>
        <w:t xml:space="preserve">са пројектованим обухватомукључивања900 незапослених лица у 2025. години. Додатни број незапослених ће бити укључен кроз Програм </w:t>
      </w:r>
      <w:r>
        <w:rPr>
          <w:rFonts w:ascii="Arial" w:eastAsia="Verdana" w:hAnsi="Arial" w:cs="Arial"/>
          <w:sz w:val="22"/>
        </w:rPr>
        <w:t>"</w:t>
      </w:r>
      <w:r w:rsidRPr="001D4868">
        <w:rPr>
          <w:rFonts w:ascii="Arial" w:eastAsia="Verdana" w:hAnsi="Arial" w:cs="Arial"/>
          <w:sz w:val="22"/>
        </w:rPr>
        <w:t>Гаранција за младе</w:t>
      </w:r>
      <w:r>
        <w:rPr>
          <w:rFonts w:ascii="Arial" w:eastAsia="Verdana" w:hAnsi="Arial" w:cs="Arial"/>
          <w:sz w:val="22"/>
        </w:rPr>
        <w:t>"</w:t>
      </w:r>
      <w:r w:rsidRPr="001D4868">
        <w:rPr>
          <w:rFonts w:ascii="Arial" w:eastAsia="Verdana" w:hAnsi="Arial" w:cs="Arial"/>
          <w:sz w:val="22"/>
        </w:rPr>
        <w:t xml:space="preserve"> и друге пројектне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Стицање практичних знања, </w:t>
      </w:r>
      <w:r w:rsidRPr="001D4868">
        <w:rPr>
          <w:rFonts w:ascii="Arial" w:eastAsia="Verdana" w:hAnsi="Arial" w:cs="Arial"/>
          <w:sz w:val="22"/>
        </w:rPr>
        <w:t xml:space="preserve">са пројектованим обухватомукључивања 650 незапослених лица у 2025. години. Додатни број незапослених ће бити укључен кроз Програм </w:t>
      </w:r>
      <w:r>
        <w:rPr>
          <w:rFonts w:ascii="Arial" w:eastAsia="Verdana" w:hAnsi="Arial" w:cs="Arial"/>
          <w:sz w:val="22"/>
        </w:rPr>
        <w:t>"</w:t>
      </w:r>
      <w:r w:rsidRPr="001D4868">
        <w:rPr>
          <w:rFonts w:ascii="Arial" w:eastAsia="Verdana" w:hAnsi="Arial" w:cs="Arial"/>
          <w:sz w:val="22"/>
        </w:rPr>
        <w:t xml:space="preserve">Гаранција за младе </w:t>
      </w:r>
      <w:r>
        <w:rPr>
          <w:rFonts w:ascii="Arial" w:eastAsia="Verdana" w:hAnsi="Arial" w:cs="Arial"/>
          <w:sz w:val="22"/>
        </w:rPr>
        <w:t>"</w:t>
      </w:r>
      <w:r w:rsidRPr="001D4868">
        <w:rPr>
          <w:rFonts w:ascii="Arial" w:eastAsia="Verdana" w:hAnsi="Arial" w:cs="Arial"/>
          <w:sz w:val="22"/>
        </w:rPr>
        <w:t xml:space="preserve"> и друге пројектне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Обуке за тржиште рада: </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b/>
          <w:sz w:val="22"/>
        </w:rPr>
        <w:t>-</w:t>
      </w:r>
      <w:r w:rsidRPr="001D4868">
        <w:rPr>
          <w:rFonts w:ascii="Arial" w:eastAsia="Verdana" w:hAnsi="Arial" w:cs="Arial"/>
          <w:b/>
          <w:sz w:val="22"/>
        </w:rPr>
        <w:t xml:space="preserve"> Обуке за незапослене особе са инвалидитетом,</w:t>
      </w:r>
      <w:r w:rsidRPr="001D4868">
        <w:rPr>
          <w:rFonts w:ascii="Arial" w:eastAsia="Verdana" w:hAnsi="Arial" w:cs="Arial"/>
          <w:sz w:val="22"/>
        </w:rPr>
        <w:t xml:space="preserve"> за 2025. годину, планирано је укључивање 400 незапослених особа са инвалидитетом из средстава НСЗ;</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b/>
          <w:sz w:val="22"/>
        </w:rPr>
        <w:t>-</w:t>
      </w:r>
      <w:r w:rsidRPr="001D4868">
        <w:rPr>
          <w:rFonts w:ascii="Arial" w:eastAsia="Verdana" w:hAnsi="Arial" w:cs="Arial"/>
          <w:b/>
          <w:sz w:val="22"/>
        </w:rPr>
        <w:t xml:space="preserve"> Обуке за лица без завршене средње школе и лица која завршавају основно образовање по моделу функционалног основног образовања одраслих</w:t>
      </w:r>
      <w:r w:rsidRPr="001D4868">
        <w:rPr>
          <w:rFonts w:ascii="Arial" w:eastAsia="Verdana" w:hAnsi="Arial" w:cs="Arial"/>
          <w:sz w:val="22"/>
        </w:rPr>
        <w:t xml:space="preserve"> спроводе ЈПОА и/или средње стручне школе који издају јавно признату исправу. За 2025. годину, планирано је укључивање 200 незапослених лица из средстава НСЗ;</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Обуке за остала незапослена лица</w:t>
      </w:r>
      <w:r w:rsidRPr="001D4868">
        <w:rPr>
          <w:rFonts w:ascii="Arial" w:eastAsia="Verdana" w:hAnsi="Arial" w:cs="Arial"/>
          <w:sz w:val="22"/>
        </w:rPr>
        <w:t xml:space="preserve"> спроводе ЈПОА и/или средње стручне школе који издају јавно признату исправу. За 2025. годину, планирано је укључивање 500 незапослених лица из средстава НСЗ.</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Додатни број незапослених ће бити укључен кроз Програм </w:t>
      </w:r>
      <w:r>
        <w:rPr>
          <w:rFonts w:ascii="Arial" w:eastAsia="Verdana" w:hAnsi="Arial" w:cs="Arial"/>
          <w:sz w:val="22"/>
        </w:rPr>
        <w:t>"</w:t>
      </w:r>
      <w:r w:rsidRPr="001D4868">
        <w:rPr>
          <w:rFonts w:ascii="Arial" w:eastAsia="Verdana" w:hAnsi="Arial" w:cs="Arial"/>
          <w:sz w:val="22"/>
        </w:rPr>
        <w:t>Гаранција за младе</w:t>
      </w:r>
      <w:r>
        <w:rPr>
          <w:rFonts w:ascii="Arial" w:eastAsia="Verdana" w:hAnsi="Arial" w:cs="Arial"/>
          <w:sz w:val="22"/>
        </w:rPr>
        <w:t>"</w:t>
      </w:r>
      <w:r w:rsidRPr="001D4868">
        <w:rPr>
          <w:rFonts w:ascii="Arial" w:eastAsia="Verdana" w:hAnsi="Arial" w:cs="Arial"/>
          <w:sz w:val="22"/>
        </w:rPr>
        <w:t xml:space="preserve"> и друге пројектне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Обуке на захтев послодавца за незапослене, </w:t>
      </w:r>
      <w:r w:rsidRPr="001D4868">
        <w:rPr>
          <w:rFonts w:ascii="Arial" w:eastAsia="Verdana" w:hAnsi="Arial" w:cs="Arial"/>
          <w:sz w:val="22"/>
        </w:rPr>
        <w:t xml:space="preserve">са пројектованим обухватомукључивања500 незапослених лица у 2025. години. Додатни број незапослених ће бити укључен кроз Програм </w:t>
      </w:r>
      <w:r>
        <w:rPr>
          <w:rFonts w:ascii="Arial" w:eastAsia="Verdana" w:hAnsi="Arial" w:cs="Arial"/>
          <w:sz w:val="22"/>
        </w:rPr>
        <w:t>"</w:t>
      </w:r>
      <w:r w:rsidRPr="001D4868">
        <w:rPr>
          <w:rFonts w:ascii="Arial" w:eastAsia="Verdana" w:hAnsi="Arial" w:cs="Arial"/>
          <w:sz w:val="22"/>
        </w:rPr>
        <w:t>Гаранција за младе</w:t>
      </w:r>
      <w:r>
        <w:rPr>
          <w:rFonts w:ascii="Arial" w:eastAsia="Verdana" w:hAnsi="Arial" w:cs="Arial"/>
          <w:sz w:val="22"/>
        </w:rPr>
        <w:t>"</w:t>
      </w:r>
      <w:r w:rsidRPr="001D4868">
        <w:rPr>
          <w:rFonts w:ascii="Arial" w:eastAsia="Verdana" w:hAnsi="Arial" w:cs="Arial"/>
          <w:sz w:val="22"/>
        </w:rPr>
        <w:t xml:space="preserve"> и друге пројектне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Обуке за потребе послодавца за запосленог </w:t>
      </w:r>
      <w:r>
        <w:rPr>
          <w:rFonts w:ascii="Arial" w:eastAsia="Verdana" w:hAnsi="Arial" w:cs="Arial"/>
          <w:b/>
          <w:sz w:val="22"/>
        </w:rPr>
        <w:t>-</w:t>
      </w:r>
      <w:r w:rsidRPr="001D4868">
        <w:rPr>
          <w:rFonts w:ascii="Arial" w:eastAsia="Verdana" w:hAnsi="Arial" w:cs="Arial"/>
          <w:b/>
          <w:sz w:val="22"/>
        </w:rPr>
        <w:t xml:space="preserve"> </w:t>
      </w:r>
      <w:r w:rsidRPr="001D4868">
        <w:rPr>
          <w:rFonts w:ascii="Arial" w:eastAsia="Verdana" w:hAnsi="Arial" w:cs="Arial"/>
          <w:sz w:val="22"/>
        </w:rPr>
        <w:t>Послодавац који припада приватном сектору може поднети захтев НСЗ за учешће у финансирању трошкова обуке за запосленог коме недостају додатна знања и вештине за обављање послова и радних задатака са циљем одржања запослења код тог послодавца.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Функционално основно образовање одраслих </w:t>
      </w:r>
      <w:r>
        <w:rPr>
          <w:rFonts w:ascii="Arial" w:eastAsia="Verdana" w:hAnsi="Arial" w:cs="Arial"/>
          <w:b/>
          <w:sz w:val="22"/>
        </w:rPr>
        <w:t>-</w:t>
      </w:r>
      <w:r w:rsidRPr="001D4868">
        <w:rPr>
          <w:rFonts w:ascii="Arial" w:eastAsia="Verdana" w:hAnsi="Arial" w:cs="Arial"/>
          <w:b/>
          <w:sz w:val="22"/>
        </w:rPr>
        <w:t xml:space="preserve"> </w:t>
      </w:r>
      <w:r w:rsidRPr="001D4868">
        <w:rPr>
          <w:rFonts w:ascii="Arial" w:eastAsia="Verdana" w:hAnsi="Arial" w:cs="Arial"/>
          <w:sz w:val="22"/>
        </w:rPr>
        <w:t>Намењен је незапосленим лицима без основног образовања. НСЗ исплаћује средства за трошкове превоза полазника, а може да сноси и трошкове припреме лица за полагање завршног испита. За 2025. годину, планирано је укључивање 1.500 незапослених лица из средстава НСЗ.</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Програм стручне праксе </w:t>
      </w:r>
      <w:r>
        <w:rPr>
          <w:rFonts w:ascii="Arial" w:eastAsia="Verdana" w:hAnsi="Arial" w:cs="Arial"/>
          <w:b/>
          <w:sz w:val="22"/>
        </w:rPr>
        <w:t>"</w:t>
      </w:r>
      <w:r w:rsidRPr="001D4868">
        <w:rPr>
          <w:rFonts w:ascii="Arial" w:eastAsia="Verdana" w:hAnsi="Arial" w:cs="Arial"/>
          <w:b/>
          <w:sz w:val="22"/>
        </w:rPr>
        <w:t>Таленти у јавном сектору</w:t>
      </w:r>
      <w:r>
        <w:rPr>
          <w:rFonts w:ascii="Arial" w:eastAsia="Verdana" w:hAnsi="Arial" w:cs="Arial"/>
          <w:b/>
          <w:sz w:val="22"/>
        </w:rPr>
        <w:t>"</w:t>
      </w:r>
      <w:r w:rsidRPr="001D4868">
        <w:rPr>
          <w:rFonts w:ascii="Arial" w:eastAsia="Verdana" w:hAnsi="Arial" w:cs="Arial"/>
          <w:b/>
          <w:sz w:val="22"/>
        </w:rPr>
        <w:t xml:space="preserve"> </w:t>
      </w:r>
      <w:r>
        <w:rPr>
          <w:rFonts w:ascii="Arial" w:eastAsia="Verdana" w:hAnsi="Arial" w:cs="Arial"/>
          <w:b/>
          <w:sz w:val="22"/>
        </w:rPr>
        <w:t>-</w:t>
      </w:r>
      <w:r w:rsidRPr="001D4868">
        <w:rPr>
          <w:rFonts w:ascii="Arial" w:eastAsia="Verdana" w:hAnsi="Arial" w:cs="Arial"/>
          <w:b/>
          <w:sz w:val="22"/>
        </w:rPr>
        <w:t xml:space="preserve"> </w:t>
      </w:r>
      <w:r w:rsidRPr="001D4868">
        <w:rPr>
          <w:rFonts w:ascii="Arial" w:eastAsia="Verdana" w:hAnsi="Arial" w:cs="Arial"/>
          <w:sz w:val="22"/>
        </w:rPr>
        <w:t xml:space="preserve">Циљ програма је стручно оспособљавање на пословима за које је корисник програма стекао одређену врсту квалификације. Обављена стручна пракса по овом Програму се може рачунати као испуњење у целости или дела обавезног приправничког стажа. Трајање програма: три месеца са могућношћу продужења програма од један до шест месеци (укупно трајање програма најдуже девет месеци). Циљна група: Стипендисти Фонда за младе таленте Републике Србије, Министарства науке, технолошког развоја и иновација изабрани по Конкурсу за финансирање студената завршних година академских студија </w:t>
      </w:r>
      <w:r w:rsidRPr="001D4868">
        <w:rPr>
          <w:rFonts w:ascii="Arial" w:eastAsia="Verdana" w:hAnsi="Arial" w:cs="Arial"/>
          <w:sz w:val="22"/>
        </w:rPr>
        <w:lastRenderedPageBreak/>
        <w:t>са универзитета чији је оснивач Република Србија за школску 2023/24. годину, и школску 2024/2025. годину, а који су успешно завршили студије добили статус незапосленог лица на евиденцији НСЗ, те се налазе се на листи кандидата за програм, формираној од стране Фонда за младе таленте, а који ће се радно ангажовати код послодаваца који припадају јавном сектору.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Агенција за квалификације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2025. години, планирана је реализација следећих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Унапређивање стандарда, односно услова за обављање активности образовања одраслих</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АзК ће радити на имплементацији дигитализованог поступка подношења захтева за стицање статуса ЈПОА. Наставиће са праћењем законодавног оквира релевантног за акредитацију ЈПОА, те уз подршку партнера предлагати промену законских и подзаконских решења у циљу унапређења услова за обављање активности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Спровођење поступка за одобравање статуса ЈПОА</w:t>
      </w:r>
      <w:r w:rsidRPr="001D4868">
        <w:rPr>
          <w:rFonts w:ascii="Arial" w:eastAsia="Verdana" w:hAnsi="Arial" w:cs="Arial"/>
          <w:i/>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Подстицање сарадње и размене информација између ЈПОА на локалном и регионалном нивоу</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АзК ће организовати заједничке радне састанке ЈПОА, ради размене искустава и примера добре праксе, унапређивања квалитета рада и прилагођавања неформалног образовања потребама тржишта рада и потребама полазника;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Пружање подршке ЈПОА у имплементацији и унапређивању система квалитета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Уз подршку партнера АзК ће развити смернице за пружање подршке ЈПОА у имплементацији и унапређивању система квалитета, посебно у делу који се односи на квалитет потребних компетенција кадра ЈПОА који реализује програм обука;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Вршење спољашње провере квалитета ЈПОА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АзК ће на основу стандарда и водича за самовредновање и спољашње вредновање пратити испуњеност услова и реализацију програма ЈПОА спровођењем спољашње провере квалитета рада ЈПОА;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Информисање других организација о условима, предностима и значају стицања статуса ЈПОА </w:t>
      </w:r>
      <w:r>
        <w:rPr>
          <w:rFonts w:ascii="Arial" w:eastAsia="Verdana" w:hAnsi="Arial" w:cs="Arial"/>
          <w:sz w:val="22"/>
        </w:rPr>
        <w:t>-</w:t>
      </w:r>
      <w:r w:rsidRPr="001D4868">
        <w:rPr>
          <w:rFonts w:ascii="Arial" w:eastAsia="Verdana" w:hAnsi="Arial" w:cs="Arial"/>
          <w:sz w:val="22"/>
        </w:rPr>
        <w:t xml:space="preserve"> АзК ће уз подршку партнера, мапирати релевантне организаторе активности образовања одраслих који немају статус ЈПОА на тржишту образовања, са циљем информисање о условима, предностима и значају стицања статуса ЈПОА;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Вођење подрегистра ЈПОА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АзК ће наставити да води редизајниран Подрегистар ЈПОА и наставити са превођењем података о акредитованим програмима на енглески језик и у сарадњи са партнерима спроводити активности на промоцији Подрегистра ЈПОА;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Праћење активности и имплементације стандарда услуга КВиС-а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АзК ће наставити са прикупљањем података од релевантних институција и организација са циљем праћења услуга КВиС-а, и имплементације стандарда;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Развој алата за КВиС у циљу подршке носиоцима активности КВиС-а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АзК ће у сарадњи са партнерима развити алате као елементе подршке носиоцима активности КВиС у различитим секторима, сагледавајући потребе и успостављене стандарде услуга каријерног вођења и саветовања;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 Развијање механизма за осигурање квалитета активности и ефеката КВиС-а по угледу на ЕУ препоруке </w:t>
      </w:r>
      <w:r>
        <w:rPr>
          <w:rFonts w:ascii="Arial" w:eastAsia="Verdana" w:hAnsi="Arial" w:cs="Arial"/>
          <w:sz w:val="22"/>
        </w:rPr>
        <w:t>-</w:t>
      </w:r>
      <w:r w:rsidRPr="001D4868">
        <w:rPr>
          <w:rFonts w:ascii="Arial" w:eastAsia="Verdana" w:hAnsi="Arial" w:cs="Arial"/>
          <w:sz w:val="22"/>
        </w:rPr>
        <w:t xml:space="preserve"> АзК ће радити на стварању системских услова за професионализацију каријерних практичара, утврђивању и препознавању њихових компетенција.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Завод за унапређивање образовања и васпитања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2025. години, планирана је реализација следећих активности: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Припрема Предлога годишњег плана образовања одраслих за 2025. годину,</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У оквиру рада радне групе за припрему Предлога годишњег плана образовања одраслих дефинишу се инструменти и методологија за припрему извештаја и плана реализације активности образовања одраслих. Радну групу чине релевантна министарства, агенције и организације које спроводе активности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оквиру редовне делатности ЗУОВ-а, спроводе се активности у вези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Развијање регулаторног оквира активности ППУ </w:t>
      </w:r>
      <w:r>
        <w:rPr>
          <w:rFonts w:ascii="Arial" w:eastAsia="Verdana" w:hAnsi="Arial" w:cs="Arial"/>
          <w:sz w:val="22"/>
        </w:rPr>
        <w:t>-</w:t>
      </w:r>
      <w:r w:rsidRPr="001D4868">
        <w:rPr>
          <w:rFonts w:ascii="Arial" w:eastAsia="Verdana" w:hAnsi="Arial" w:cs="Arial"/>
          <w:sz w:val="22"/>
        </w:rPr>
        <w:t xml:space="preserve"> листа квалификација по врстама и нивоима;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Вођење евиденције правних лица и предузетника који нису организатори активности образовања одраслих, а код којих се обавља практичан рад;</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 Припрема инструмената и стандарда за активност признавања претходног учења;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Образовање комисија и тимова и ангажовање научно-истраживачких установа уз сагласност Министарства просвете.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Фондацијa Темпус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Фондација Темпус ће током 2025. године, организовати вебинаре, презентације, конференције и радионице, за различите циљне групе одраслих, а са циљем развоја вештина;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Планирана је </w:t>
      </w:r>
      <w:r w:rsidRPr="001D4868">
        <w:rPr>
          <w:rFonts w:ascii="Arial" w:eastAsia="Verdana" w:hAnsi="Arial" w:cs="Arial"/>
          <w:b/>
          <w:sz w:val="22"/>
        </w:rPr>
        <w:t>подршка имплементацији Правилника о стандардима услуга КВиС</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Учествовање у радној групи за унапређивање квалитета услуга КВиС;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Семинари на тему спровођења активности КВиС у школском систему</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осам обука за око 150 полазника;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 xml:space="preserve">Акредитовани семинари </w:t>
      </w:r>
      <w:r>
        <w:rPr>
          <w:rFonts w:ascii="Arial" w:eastAsia="Verdana" w:hAnsi="Arial" w:cs="Arial"/>
          <w:b/>
          <w:sz w:val="22"/>
        </w:rPr>
        <w:t>"</w:t>
      </w:r>
      <w:r w:rsidRPr="001D4868">
        <w:rPr>
          <w:rFonts w:ascii="Arial" w:eastAsia="Verdana" w:hAnsi="Arial" w:cs="Arial"/>
          <w:b/>
          <w:sz w:val="22"/>
        </w:rPr>
        <w:t>Каријерно вођење и саветовање одраслих у услугама социјалне заштите</w:t>
      </w:r>
      <w:r>
        <w:rPr>
          <w:rFonts w:ascii="Arial" w:eastAsia="Verdana" w:hAnsi="Arial" w:cs="Arial"/>
          <w:b/>
          <w:sz w:val="22"/>
        </w:rPr>
        <w:t>"</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два семинара;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Акредитовани семинари </w:t>
      </w:r>
      <w:r>
        <w:rPr>
          <w:rFonts w:ascii="Arial" w:eastAsia="Verdana" w:hAnsi="Arial" w:cs="Arial"/>
          <w:b/>
          <w:sz w:val="22"/>
        </w:rPr>
        <w:t>"</w:t>
      </w:r>
      <w:r w:rsidRPr="001D4868">
        <w:rPr>
          <w:rFonts w:ascii="Arial" w:eastAsia="Verdana" w:hAnsi="Arial" w:cs="Arial"/>
          <w:b/>
          <w:sz w:val="22"/>
        </w:rPr>
        <w:t>Пројектно оријентисана настава у основном образовању одраслих</w:t>
      </w:r>
      <w:r>
        <w:rPr>
          <w:rFonts w:ascii="Arial" w:eastAsia="Verdana" w:hAnsi="Arial" w:cs="Arial"/>
          <w:b/>
          <w:sz w:val="22"/>
        </w:rPr>
        <w:t>"</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два семинара;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ЕПАЛЕ национална конференција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планирано 100 учесника;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Наградни конкурс за најбољи блог на ЕПАЛЕ платформи</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два наградна конкурса, планирано 10 до 20 учесника;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 xml:space="preserve">Одржавање предавања на интернету </w:t>
      </w:r>
      <w:r>
        <w:rPr>
          <w:rFonts w:ascii="Arial" w:eastAsia="Verdana" w:hAnsi="Arial" w:cs="Arial"/>
          <w:b/>
          <w:sz w:val="22"/>
        </w:rPr>
        <w:t>-</w:t>
      </w:r>
      <w:r w:rsidRPr="001D4868">
        <w:rPr>
          <w:rFonts w:ascii="Arial" w:eastAsia="Verdana" w:hAnsi="Arial" w:cs="Arial"/>
          <w:b/>
          <w:sz w:val="22"/>
        </w:rPr>
        <w:t xml:space="preserve"> вебинара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планирано 70 до 120 учесника;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Учешће на догађајима међународне сарадње</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планирано слање шест учесника, наставног и радно ангажованог кадра у образовању одраслих на догађаје међународне сарадње које организују националне агенције за Еразмус+;</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Учешће на Европској годишњој ЕПАЛЕ конференцији</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планирано 3 учесника;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Активности на ЕПАЛЕ платформи</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планирано 2000 учесника;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Еразмус+ информативни дани</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планирано 1000 до 1200 учесника;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Радионице за писање Еразмус+ пројеката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планирано 150 учесника;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Усавршавање кадра ангажованог у образовању одраслих</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Унапређење квалитета образовних програма и континуиран развој компетенција кадра ангажованог у области образовања одраслих у 2025. години, биће подстицани реализацијом низа догађаја и активности као што су: Еразмус+ информативни дани, Национална ЕПАЛЕ конференција, наградни конкурси који омогућавају професионално усавршавање практичара, учешће у регионалним и међународним догађајима посвећеним образовању одраслих, као и организацијом вебинара и радионица за писање пројеката, семинара, акредитованих обука и других активности које се објављују на ЕПАЛЕ платформи.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Националнa академијa за јавну управу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Када говоримо о развоју и унапређењу компетенција запослених у јавној управи, НАЈУ планира реализацију следећих активности у 2025. години: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Општи програм обуке државних службеника, Општи програм обуке запослених у ЈЛС, Програм обуке руководилаца у државним органима, Програм обуке руководилаца у ЈЛС. </w:t>
      </w:r>
      <w:r w:rsidRPr="001D4868">
        <w:rPr>
          <w:rFonts w:ascii="Arial" w:eastAsia="Verdana" w:hAnsi="Arial" w:cs="Arial"/>
          <w:sz w:val="22"/>
        </w:rPr>
        <w:t>Наведене програме ће спроводити акредитовани реализатори НАЈУ који се налазе на Сталној листи предавача и других реализатора обука. Обуке ће бити организоване у тренинг центру НАЈУ, путем self-paced онлајн обука, вебинара и путем комбинованог учења. Планирано 18.000 учесника;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Развој посебних програма стручног усавршавања органима јавне управе</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Пружање стручне помоћи и координација послова у вези са припремом и спровођењем посебних програма стручног усавршавања органима јавне управе са носиоцима обавезе припреме и спровођења тих програма, у циљу праћења квалитета посебних програма, НАЈУ је развила критеријуме и стандарде за акредитацију посебних програма;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Програм обуке за студенте полазнике стручне праксе у јавној управи за 2025. годину </w:t>
      </w:r>
      <w:r>
        <w:rPr>
          <w:rFonts w:ascii="Arial" w:eastAsia="Verdana" w:hAnsi="Arial" w:cs="Arial"/>
          <w:sz w:val="22"/>
        </w:rPr>
        <w:t>-</w:t>
      </w:r>
      <w:r w:rsidRPr="001D4868">
        <w:rPr>
          <w:rFonts w:ascii="Arial" w:eastAsia="Verdana" w:hAnsi="Arial" w:cs="Arial"/>
          <w:sz w:val="22"/>
        </w:rPr>
        <w:t xml:space="preserve"> Основе рада у државним органима и локалној самоуправи, Вештине које повећавају запошљивост и Вештине за модерно пословно доба. Планирано учешће 1.500 студената;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lastRenderedPageBreak/>
        <w:t>Управљање квалитетом НАЈУ</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У Програму обуке запослених у ЈЛС за 2025. годину, је развијена нова област Управљање квалитетом која садржи три обуке: Увод у управљање квалитетом, Менаџмент квалитета у јавној управи </w:t>
      </w:r>
      <w:r>
        <w:rPr>
          <w:rFonts w:ascii="Arial" w:eastAsia="Verdana" w:hAnsi="Arial" w:cs="Arial"/>
          <w:sz w:val="22"/>
        </w:rPr>
        <w:t>-</w:t>
      </w:r>
      <w:r w:rsidRPr="001D4868">
        <w:rPr>
          <w:rFonts w:ascii="Arial" w:eastAsia="Verdana" w:hAnsi="Arial" w:cs="Arial"/>
          <w:sz w:val="22"/>
        </w:rPr>
        <w:t xml:space="preserve"> Примена ISO 9001 стандарда и CAF </w:t>
      </w:r>
      <w:r>
        <w:rPr>
          <w:rFonts w:ascii="Arial" w:eastAsia="Verdana" w:hAnsi="Arial" w:cs="Arial"/>
          <w:sz w:val="22"/>
        </w:rPr>
        <w:t>-</w:t>
      </w:r>
      <w:r w:rsidRPr="001D4868">
        <w:rPr>
          <w:rFonts w:ascii="Arial" w:eastAsia="Verdana" w:hAnsi="Arial" w:cs="Arial"/>
          <w:sz w:val="22"/>
        </w:rPr>
        <w:t xml:space="preserve"> Заједнички оквир процене;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Програм за лидере у државној управи</w:t>
      </w:r>
      <w:r w:rsidRPr="001D4868">
        <w:rPr>
          <w:rFonts w:ascii="Arial" w:eastAsia="Verdana" w:hAnsi="Arial" w:cs="Arial"/>
          <w:sz w:val="22"/>
        </w:rPr>
        <w:t xml:space="preserve"> у оквиру сарадње и на основу Меморандума о разумевању Владе Републике Србије и Владе Уједињених Арапских Емирата о размени искустава о развоју и модернизацији Владе </w:t>
      </w:r>
      <w:r>
        <w:rPr>
          <w:rFonts w:ascii="Arial" w:eastAsia="Verdana" w:hAnsi="Arial" w:cs="Arial"/>
          <w:sz w:val="22"/>
        </w:rPr>
        <w:t>-</w:t>
      </w:r>
      <w:r w:rsidRPr="001D4868">
        <w:rPr>
          <w:rFonts w:ascii="Arial" w:eastAsia="Verdana" w:hAnsi="Arial" w:cs="Arial"/>
          <w:sz w:val="22"/>
        </w:rPr>
        <w:t xml:space="preserve"> Циљ је да се државним службеницима на положају обезбеде неопходни алати и нови иновативни капацитети у руковођењу. Модули: Улога руководиоца у управљању јавном политиком, Агилно управљање и Протокол и дипломатија;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оквиру Предлога годишњих програма обука НАЈУ за 2025. годину, унапређене су обуке у области </w:t>
      </w:r>
      <w:r w:rsidRPr="001D4868">
        <w:rPr>
          <w:rFonts w:ascii="Arial" w:eastAsia="Verdana" w:hAnsi="Arial" w:cs="Arial"/>
          <w:b/>
          <w:sz w:val="22"/>
        </w:rPr>
        <w:t>Тренинг академија</w:t>
      </w:r>
      <w:r w:rsidRPr="001D4868">
        <w:rPr>
          <w:rFonts w:ascii="Arial" w:eastAsia="Verdana" w:hAnsi="Arial" w:cs="Arial"/>
          <w:sz w:val="22"/>
        </w:rPr>
        <w:t>. Специфични циљевиНАЈУ Тренинг академије су обезбеђивање стандарда квалитета рада реализатора и промоција изврсности, осигуравање континуираног подстицајног окружења за лични и професионални развој тренера, поспешивање иновативности у образовном раду као и боља умреженост тренера и размена знања и искустава. Ове активности обухватају обуке и развојно праћење тренера, као и сусрете тренера и одржавање конференција за тренере.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Привреднa коморa Србије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2025. години, планирана је реализација следећих програма и обука са циљем:</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1. Стицања додатних знања и вештина, a у циљу одржања запослења и каријерног напредовања;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2. Стицања компетенција за лични и професионални развој и запошљавање.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Обуке за одржање запослења и каријерно напредовање </w:t>
      </w:r>
      <w:r>
        <w:rPr>
          <w:rFonts w:ascii="Arial" w:eastAsia="Verdana" w:hAnsi="Arial" w:cs="Arial"/>
          <w:b/>
          <w:sz w:val="22"/>
        </w:rPr>
        <w:t>-</w:t>
      </w:r>
      <w:r w:rsidRPr="001D4868">
        <w:rPr>
          <w:rFonts w:ascii="Arial" w:eastAsia="Verdana" w:hAnsi="Arial" w:cs="Arial"/>
          <w:b/>
          <w:sz w:val="22"/>
        </w:rPr>
        <w:t xml:space="preserve"> Специјалистичке обуке</w:t>
      </w:r>
      <w:r w:rsidRPr="001D4868">
        <w:rPr>
          <w:rFonts w:ascii="Arial" w:eastAsia="Verdana" w:hAnsi="Arial" w:cs="Arial"/>
          <w:sz w:val="22"/>
        </w:rPr>
        <w:t xml:space="preserve"> (из области финансија и рачуноводства, правних послова и законске регулативе, спољнотрговинског пословања, инфраструктуре квалитета, менаџмента, маркетинга и односа са јавношћу, продаје и набавке, информационих технологија, безбедности и управљања људским ресурсима и сл.);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Обуке на основу поверених послова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Континуирано усавршавање овлашћених заступника и овлашћених посредника у осигурању (планирано је одржавање око 140 обука за око 3.700 полазника);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Обуке као припрема за излазак на испит у циљу стицања лиценце или сертификата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Обуке за припрему за полагање испита за овлашћеног заступника и овлашћеног посредника у осигурању (планирано је 6 циклуса обука за око 540 полазника);</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Обуке за припрему за полагање испита за лиценцу за професионалног управника (планирана је реализација четири обуке и четири циклуса испита за око 80 кандидата);</w:t>
      </w:r>
    </w:p>
    <w:p w:rsidR="001D4868" w:rsidRPr="001D4868" w:rsidRDefault="001D4868" w:rsidP="001D4868">
      <w:pPr>
        <w:spacing w:before="120" w:after="120" w:line="210" w:lineRule="atLeast"/>
        <w:contextualSpacing w:val="0"/>
        <w:rPr>
          <w:rFonts w:ascii="Arial" w:hAnsi="Arial" w:cs="Arial"/>
        </w:rPr>
      </w:pPr>
      <w:r>
        <w:rPr>
          <w:rFonts w:ascii="Arial" w:eastAsia="Verdana" w:hAnsi="Arial" w:cs="Arial"/>
          <w:sz w:val="22"/>
        </w:rPr>
        <w:t>-</w:t>
      </w:r>
      <w:r w:rsidRPr="001D4868">
        <w:rPr>
          <w:rFonts w:ascii="Arial" w:eastAsia="Verdana" w:hAnsi="Arial" w:cs="Arial"/>
          <w:sz w:val="22"/>
        </w:rPr>
        <w:t xml:space="preserve"> Испит за полагање за лиценцу за професионалног управника (планирана је реализација пет испита и пет циклуса испита за око 300 кандидата).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Обуке у оквиру програма енергетске ефикасности стамбених зграда </w:t>
      </w:r>
      <w:r>
        <w:rPr>
          <w:rFonts w:ascii="Arial" w:eastAsia="Verdana" w:hAnsi="Arial" w:cs="Arial"/>
          <w:b/>
          <w:sz w:val="22"/>
        </w:rPr>
        <w:t>"</w:t>
      </w:r>
      <w:r w:rsidRPr="001D4868">
        <w:rPr>
          <w:rFonts w:ascii="Arial" w:eastAsia="Verdana" w:hAnsi="Arial" w:cs="Arial"/>
          <w:b/>
          <w:sz w:val="22"/>
        </w:rPr>
        <w:t>Боља енергија</w:t>
      </w:r>
      <w:r>
        <w:rPr>
          <w:rFonts w:ascii="Arial" w:eastAsia="Verdana" w:hAnsi="Arial" w:cs="Arial"/>
          <w:b/>
          <w:sz w:val="22"/>
        </w:rPr>
        <w:t>"</w:t>
      </w:r>
      <w:r w:rsidRPr="001D4868">
        <w:rPr>
          <w:rFonts w:ascii="Arial" w:eastAsia="Verdana" w:hAnsi="Arial" w:cs="Arial"/>
          <w:b/>
          <w:sz w:val="22"/>
        </w:rPr>
        <w:t xml:space="preserve"> </w:t>
      </w:r>
      <w:r>
        <w:rPr>
          <w:rFonts w:ascii="Arial" w:eastAsia="Verdana" w:hAnsi="Arial" w:cs="Arial"/>
          <w:sz w:val="22"/>
        </w:rPr>
        <w:t>-</w:t>
      </w:r>
      <w:r w:rsidRPr="001D4868">
        <w:rPr>
          <w:rFonts w:ascii="Arial" w:eastAsia="Verdana" w:hAnsi="Arial" w:cs="Arial"/>
          <w:sz w:val="22"/>
        </w:rPr>
        <w:t xml:space="preserve"> Циљ Пројекта је унапређењe енергетске ефикасности и веће коришћење обновљивих извора енергије на нивоу општина, кроз организовање обука и подизање свести о значају професионалног управљања зградама;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Обуке у оквиру пројекта Back on Track </w:t>
      </w:r>
      <w:r>
        <w:rPr>
          <w:rFonts w:ascii="Arial" w:eastAsia="Verdana" w:hAnsi="Arial" w:cs="Arial"/>
          <w:b/>
          <w:sz w:val="22"/>
        </w:rPr>
        <w:t>-</w:t>
      </w:r>
      <w:r w:rsidRPr="001D4868">
        <w:rPr>
          <w:rFonts w:ascii="Arial" w:eastAsia="Verdana" w:hAnsi="Arial" w:cs="Arial"/>
          <w:b/>
          <w:sz w:val="22"/>
        </w:rPr>
        <w:t xml:space="preserve"> </w:t>
      </w:r>
      <w:r w:rsidRPr="001D4868">
        <w:rPr>
          <w:rFonts w:ascii="Arial" w:eastAsia="Verdana" w:hAnsi="Arial" w:cs="Arial"/>
          <w:sz w:val="22"/>
        </w:rPr>
        <w:t>Република Србија ће бити једна од пилот земаља у којој ће се тестирати иновативна решења. Циљ пројекта је интеграција НЕЕТ категорије у систем образовања и/или рада као и подизање свести о могућностима за младе који спадају у ту категорију. Кључно је да се допре до наведене категорије, да се мотивишу и ефикасно интегришу неактивни млади људи, који су неангажовани и маргинализовани. Да се побољшају њихове основне вештине, отпорност и мобилност и да се тиме олакша њихова успешна реинтеграција у образовање, обуке и тржиште рада;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Обуке у оквиру пројекта IntegrAGE</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Пројекат има за циљ да подржи здраву интеграцију старијих генерација радника (55+) у тржиште рада, капитализујући њихово знање и пружајући им подршку да се прилагоде изазовима нових начина рада. Циљ је да се повећа њихово учешће, избегне нежељено превремено пензионисање и продужи њихов продуктиван живот. Пројекат тежи промовисању равнотеже између посла и приватног живота прилагођеног старосном добу;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Обуке инструктора за дуално образовање;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Обуке у оквиру Програма промоције предузетништва и самозапошљавања за израду пословно инвестиционог плана</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500 полазника би требало да прође обуке;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lastRenderedPageBreak/>
        <w:t xml:space="preserve">Обуке за развој и функционисање социјалних предузећа </w:t>
      </w:r>
      <w:r>
        <w:rPr>
          <w:rFonts w:ascii="Arial" w:eastAsia="Verdana" w:hAnsi="Arial" w:cs="Arial"/>
          <w:sz w:val="22"/>
        </w:rPr>
        <w:t>-</w:t>
      </w:r>
      <w:r w:rsidRPr="001D4868">
        <w:rPr>
          <w:rFonts w:ascii="Arial" w:eastAsia="Verdana" w:hAnsi="Arial" w:cs="Arial"/>
          <w:sz w:val="22"/>
        </w:rPr>
        <w:t xml:space="preserve"> Обуке на теме: Управљање ризицима, Маркетинг, Доступни извори финансирања, Упознавање са социјалном економијом и социјалним предузетништвом и Нефинансијска подршка за социјална предузећа. За 20 социјалних предузећа;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Обуке релевантне за зелену транзицију привреде и одговорно пословање</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Обуке за привреднике на теме: Корпоративна култура управљања и Управљање угљеником.</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Унија послодаваца Србије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Унија послодаваца Србије и у 2025. години, наставља са подношењем иницијатива за унапређење нормативног оквира за развој формалног и неформалног образовања. Представници Уније послодаваца Србије су укључени у различита стручна стална или привремена радна тела у области стручног образовања и образовања одраслих (на националном нивоу: ССООО, Савет за НОКС, секторска већа, радне групе за израду нових и измене и допуне постојећих закона, а такође су чланови АCVT, и у сталној комуникацији и размени информација са ЕТФ). Представници Уније послодаваца Србије ће се залагати за наставак реформе образовања спрам потреба привреде и друштва.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Унија ће се залагати за поједностављење процедура акредитације за јавно признате организаторе активности образовања одраслих, те измену законодавног оквира у циљу бржег и поједностављеног начина стицања квалификација, а све са циљем бржег задовољења потреба привреде за стручом радном снагом.</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Унија послодаваца Србије планира да у 2025. године, реализује и пројекте: Обуке за дефицитарна занимања, обуке за развој меких вештина и Промоција предузетништва, израда посебног Закона о занатству.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Министарство правде, Управа за извршење кривичних санкција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Учешће одраслих у програмима образовања и обучавања у 2025. години, је планирано у КПЗ у Београду у Падинској Скели, Окружном затвору у Београду, КПЗ у Панчеву, КПЗ у Шапцу, КПЗ у Нишу, КПЗ за жене у Пожаревцу, КПЗ у Пожаревцу, КПЗ за жене у Сремској Митровици, КПЗ у Крагујевцу, КПЗ у Ваљеву, КПЗ у Сомбору, Окружном затвору у Суботици, Васпитно поправном дому у Крушевцу, Окружном затвору у Смедереву, Окружном затвору у Зрењанину, Окружном затвору у Зајечару, КПЗ у Ћуприји и Окружном затвору у Лесковцу. У оквиру ових установа планирана је реализација следећих програма: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Програма ФООО;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Програма неформалног образовања, и то пре свега програма стручних обука за кувара, пекара, фризера, ратара, за производњу расада и поврћа у пластеницима односно у заштићеном простору, за производњу разних врста хлеба и пецива, за производњу ПВЦ ролетни и комарника, за виљушкаристу, за СО</w:t>
      </w:r>
      <w:r w:rsidRPr="001D4868">
        <w:rPr>
          <w:rFonts w:ascii="Arial" w:eastAsia="Verdana" w:hAnsi="Arial" w:cs="Arial"/>
          <w:sz w:val="22"/>
          <w:vertAlign w:val="subscript"/>
        </w:rPr>
        <w:t>2</w:t>
      </w:r>
      <w:r w:rsidRPr="001D4868">
        <w:rPr>
          <w:rFonts w:ascii="Arial" w:eastAsia="Verdana" w:hAnsi="Arial" w:cs="Arial"/>
          <w:sz w:val="22"/>
        </w:rPr>
        <w:t xml:space="preserve"> заваривача, за електро заваривача, за водоинсталатера, за кројача-шивача, за грађевинског керамичара, за молера-фасадера, за грађевинског лимара, за тепетара, за столара, за пластификацију метала, за машин-бравара, оператера на ЦНЦ машини, електричара, аутомеханичара, механичара моторних возила, цвећара, баштована, козметичара, маникира и педикира, оператера прехрамбене технологије, пољопривредног техничара, трговца, бравара заваривача, оператера машинске обраде резањем.</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Министарство државне управе и локалне самоуправе </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2025. години, планирана је реализација следећих програма: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Секторски посебни програма обуке матичара за 2025. годину,</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Предлог програма обухвата 7 области и 18 тематских целина. Циљ доношења Секторског посебног програма обуке матичара за 2025. годину, је вишеструк. Са једне стране, циљ је да се обезбеди једнак квалитет стручног усавршавања и једнак приступ праву на стручно усавршавање матичара, као и било којој другој категорији запослених у ЈЛС и на тај начин обезбеди пуна примена члана 116. Закона о запосленима у аутономним покрајинама и ЈЛС, сагласно коме је стручно усавршавање право и дужност службеника да стичу знања, вештине, односно способности за извршавање послова радног места у складу са потребама послодавца. Са друге стране, циљ овог програма обуке 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Обезбеђење унапређења постојећих и стицање нових знања, вештина и способности матичара за успешно извршавање послова матичних књига и решавања у првостепеном управном поступку у области матичних књига;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 Обезбеђење извршавања поверених послова у складу са законом, уз остваривање основних начела општег управног поступка, електронске управе и заштите података о личности;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Модел превентивног деловања у вези са обезбеђењем правилне примене прописа и законитог вршења поверених послова матичних књига;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Обезбеђење ефикасног и делотворног остваривања права странака и њихових правних интереса, уз поштовање личности и достојанства странака.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Носиоци реализације овог програма јесу акредитовани реализатори за област стручног усавршавања Матичне књиге, и Комуникација и односи са јавношћу, уписани у Сталну листу предавача и других реализатора обука коју води НАЈУ.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Секторски посебни програма обуке запослених у ЈЛС који обављају поверене послове ажурирања јединственог бирачког списка за 2025. годину,</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Предлог програма обухвата четири области и осам тематских целина. Циљ доношења Секторског посебног програма обуке запослених у ЈЛС који обављају поверене послове ажурирања јединственог бирачког списка за 2025. годину, је вишеструк. Са једне стране, циљ је да се обезбеди једнак квалитет стручног усавршавања и једнак приступ праву на стручно усавршавање запослених који обављају поверене послове ажурирања јединственог бирачког списка, као и било којој другој категорији запослених у ЈЛС и на тај начин обезбеди пуна примена члана 116. Закона о запосленима у аутономним покрајинама и ЈЛС, сагласно коме је стручно усавршавање право и дужност службеника да стичу знања, вештине, односно способности за извршавање послова радног места у складу са потребама послодавца. Са друге стране, циљ овог програма обуке 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Обезбеђење унапређења постојећих и стицање нових знања, вештина за успешно извршавање послова ажурирања јединственог бирачког списком за подручје ЈЛС као и задовољења потреба грађана у овој области;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Обезбеђење извршавања поверених послова у складу са законом, уз остваривање основних начела општег управног поступка, електронске управе и заштите података о личности;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Модел превентивног деловања у вези са обезбеђењем правилне примене прописа и законитог вршења поверених послова ажурирања јединственог бирачког списка;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Обезбеђење ефикасног и делотворног остваривања права странака и њихових правних интереса, уз поштовање личности и достојанства странака.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Носиоци реализације овог програма јесу акредитовани реализатори за област стручног усавршавања Бирачки спискови, уписани у Сталну листу предавача и других реализатора обука коју води НАЈУ.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Посебни програм обуке државних службеника у Министарству државне управе и локалне самоуправе за 2025. годину,</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Припреми Посебног програма обуке државних службеника у Министарству државне управе и локалне самоуправе за 2025. годину, претходио је поступак утврђивања потреба за стручним усавршавањем државних службеника и припрема Извештаја о анализи потреба за стручним усавршавањем државних службеника у Министарству државне управе и локалне самоуправе за 2025. годину. Планирано је да Посебни програм обуке за 2025. годину, обухвати једну област стручног усавршавања и то страни језик са четири тематске целине (</w:t>
      </w:r>
      <w:r w:rsidRPr="001D4868">
        <w:rPr>
          <w:rFonts w:ascii="Arial" w:eastAsia="Verdana" w:hAnsi="Arial" w:cs="Arial"/>
          <w:i/>
          <w:sz w:val="22"/>
        </w:rPr>
        <w:t xml:space="preserve">Енглески језик </w:t>
      </w:r>
      <w:r>
        <w:rPr>
          <w:rFonts w:ascii="Arial" w:eastAsia="Verdana" w:hAnsi="Arial" w:cs="Arial"/>
          <w:i/>
          <w:sz w:val="22"/>
        </w:rPr>
        <w:t>-</w:t>
      </w:r>
      <w:r w:rsidRPr="001D4868">
        <w:rPr>
          <w:rFonts w:ascii="Arial" w:eastAsia="Verdana" w:hAnsi="Arial" w:cs="Arial"/>
          <w:i/>
          <w:sz w:val="22"/>
        </w:rPr>
        <w:t xml:space="preserve"> Ниво Б1</w:t>
      </w:r>
      <w:r w:rsidRPr="001D4868">
        <w:rPr>
          <w:rFonts w:ascii="Arial" w:eastAsia="Verdana" w:hAnsi="Arial" w:cs="Arial"/>
          <w:sz w:val="22"/>
        </w:rPr>
        <w:t xml:space="preserve">, </w:t>
      </w:r>
      <w:r w:rsidRPr="001D4868">
        <w:rPr>
          <w:rFonts w:ascii="Arial" w:eastAsia="Verdana" w:hAnsi="Arial" w:cs="Arial"/>
          <w:i/>
          <w:sz w:val="22"/>
        </w:rPr>
        <w:t xml:space="preserve">Енглески језик </w:t>
      </w:r>
      <w:r>
        <w:rPr>
          <w:rFonts w:ascii="Arial" w:eastAsia="Verdana" w:hAnsi="Arial" w:cs="Arial"/>
          <w:i/>
          <w:sz w:val="22"/>
        </w:rPr>
        <w:t>-</w:t>
      </w:r>
      <w:r w:rsidRPr="001D4868">
        <w:rPr>
          <w:rFonts w:ascii="Arial" w:eastAsia="Verdana" w:hAnsi="Arial" w:cs="Arial"/>
          <w:i/>
          <w:sz w:val="22"/>
        </w:rPr>
        <w:t xml:space="preserve"> Ниво Б2</w:t>
      </w:r>
      <w:r w:rsidRPr="001D4868">
        <w:rPr>
          <w:rFonts w:ascii="Arial" w:eastAsia="Verdana" w:hAnsi="Arial" w:cs="Arial"/>
          <w:sz w:val="22"/>
        </w:rPr>
        <w:t xml:space="preserve">, </w:t>
      </w:r>
      <w:r w:rsidRPr="001D4868">
        <w:rPr>
          <w:rFonts w:ascii="Arial" w:eastAsia="Verdana" w:hAnsi="Arial" w:cs="Arial"/>
          <w:i/>
          <w:sz w:val="22"/>
        </w:rPr>
        <w:t xml:space="preserve">Енглески језик </w:t>
      </w:r>
      <w:r>
        <w:rPr>
          <w:rFonts w:ascii="Arial" w:eastAsia="Verdana" w:hAnsi="Arial" w:cs="Arial"/>
          <w:i/>
          <w:sz w:val="22"/>
        </w:rPr>
        <w:t>-</w:t>
      </w:r>
      <w:r w:rsidRPr="001D4868">
        <w:rPr>
          <w:rFonts w:ascii="Arial" w:eastAsia="Verdana" w:hAnsi="Arial" w:cs="Arial"/>
          <w:i/>
          <w:sz w:val="22"/>
        </w:rPr>
        <w:t xml:space="preserve"> Специјалистички курс за област јавне управе</w:t>
      </w:r>
      <w:r w:rsidRPr="001D4868">
        <w:rPr>
          <w:rFonts w:ascii="Arial" w:eastAsia="Verdana" w:hAnsi="Arial" w:cs="Arial"/>
          <w:sz w:val="22"/>
        </w:rPr>
        <w:t xml:space="preserve"> и </w:t>
      </w:r>
      <w:r w:rsidRPr="001D4868">
        <w:rPr>
          <w:rFonts w:ascii="Arial" w:eastAsia="Verdana" w:hAnsi="Arial" w:cs="Arial"/>
          <w:i/>
          <w:sz w:val="22"/>
        </w:rPr>
        <w:t xml:space="preserve">Италијански језик </w:t>
      </w:r>
      <w:r>
        <w:rPr>
          <w:rFonts w:ascii="Arial" w:eastAsia="Verdana" w:hAnsi="Arial" w:cs="Arial"/>
          <w:i/>
          <w:sz w:val="22"/>
        </w:rPr>
        <w:t>-</w:t>
      </w:r>
      <w:r w:rsidRPr="001D4868">
        <w:rPr>
          <w:rFonts w:ascii="Arial" w:eastAsia="Verdana" w:hAnsi="Arial" w:cs="Arial"/>
          <w:i/>
          <w:sz w:val="22"/>
        </w:rPr>
        <w:t xml:space="preserve"> Ниво А2</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Министарство туризма и омладине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2025. години, Министарство туризма и омладине планира расписивање јавних конкурса за програме и пројекте од јавног интереса у областима омладинског сектора. Министарство туризма и омладине ће подржати програме и пројекте за развој и спровођење омладинске политике, подршку ЈЛС које имају основану канцеларију за младе, пројекте и програме подршке младима у образовању, васпитању, безбедности, здрављу и партиципацији, као и програме и пројекте подршке младима у запошљавању, самозапошљавању и предузетништву, а које реализују удружења за младе, удружења младих, њихови савези и канцеларије за младе. Програми су намењени младима од навршених 15 до 30 година, ради подизања њихових личних и професионалних капацитета.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Министарство унутрашњих послова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У 2025. години, Министарство унутрашњих послова планира да спроведе обуку и оспособљавање физичких лица за вршење детективских послова и полагање стручног испита за детективе. По завршетку обуке, физичка лица могу да приступе полагању стручног испита за детективе и да добију лиценцу за вршење детективских послова.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Министарство заштите животне средине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2025. години, планирана је реализација следећих обука: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Обуке за даље јачање капацитета за примену система мониторинга, извештавања и верификације у области климатских промена</w:t>
      </w:r>
      <w:r w:rsidRPr="001D4868">
        <w:rPr>
          <w:rFonts w:ascii="Arial" w:eastAsia="Verdana" w:hAnsi="Arial" w:cs="Arial"/>
          <w:sz w:val="22"/>
        </w:rPr>
        <w:t xml:space="preserve"> ради даљег јачања капацитета надлежних органа и оператера постројења за примену система мониторинга, извештавања и верификације у складу са Законом о климатским променама;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Предузетништво за младе и женско предузетништво, у области циркуларне економије</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предвиђено је да се одржи по једна радионица за предузетништво за младе и једна за женско предузетништво. Циљ ових радионица је да се пружи подршка младима и женама за оснивање својих фирми кроз упознавање са основним појмовима (оснивање бизниса, израда бизнис планова, финансије);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Радионице за едукацију техничких лица произвођача пластике о методама идентификације опасних супстанци из рециклираних пластичних сировина коришћењем XRF-детектора,</w:t>
      </w:r>
      <w:r w:rsidRPr="001D4868">
        <w:rPr>
          <w:rFonts w:ascii="Arial" w:eastAsia="Verdana" w:hAnsi="Arial" w:cs="Arial"/>
          <w:sz w:val="22"/>
        </w:rPr>
        <w:t xml:space="preserve"> намењене техничким лицима из произвођача и увозника пластике и рециклираних пластичних сировина у циљу коришћења ове сепарационе технике за проверу присуства опасних супстанци;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w:t>
      </w:r>
      <w:r w:rsidRPr="001D4868">
        <w:rPr>
          <w:rFonts w:ascii="Arial" w:eastAsia="Verdana" w:hAnsi="Arial" w:cs="Arial"/>
          <w:b/>
          <w:sz w:val="22"/>
        </w:rPr>
        <w:t>Радионица за техничка лица запослена код произвођача увозника производа са наменски додатом микропластиком (детерџената, козметичких производа) о примени планиране забране производње и увоза производа са наменски додатом микропластиком</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намењена за техничка лица запослена код произвођача увозника производа са наменски додатом микропластиком.</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 xml:space="preserve">Покрајински секретаријат за образовање, прописе, управу и националне мањине </w:t>
      </w:r>
      <w:r>
        <w:rPr>
          <w:rFonts w:ascii="Arial" w:eastAsia="Verdana" w:hAnsi="Arial" w:cs="Arial"/>
          <w:b/>
          <w:sz w:val="22"/>
        </w:rPr>
        <w:t>-</w:t>
      </w:r>
      <w:r w:rsidRPr="001D4868">
        <w:rPr>
          <w:rFonts w:ascii="Arial" w:eastAsia="Verdana" w:hAnsi="Arial" w:cs="Arial"/>
          <w:b/>
          <w:sz w:val="22"/>
        </w:rPr>
        <w:t xml:space="preserve"> националне заједнице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2025. години, биће расписан </w:t>
      </w:r>
      <w:r w:rsidRPr="001D4868">
        <w:rPr>
          <w:rFonts w:ascii="Arial" w:eastAsia="Verdana" w:hAnsi="Arial" w:cs="Arial"/>
          <w:b/>
          <w:sz w:val="22"/>
        </w:rPr>
        <w:t>Конкурс за финансирање и суфинансирање програма и пројеката у области образовања у АП Војводини у 2025. години</w:t>
      </w:r>
      <w:r w:rsidRPr="001D4868">
        <w:rPr>
          <w:rFonts w:ascii="Arial" w:eastAsia="Verdana" w:hAnsi="Arial" w:cs="Arial"/>
          <w:sz w:val="22"/>
        </w:rPr>
        <w:t xml:space="preserve"> </w:t>
      </w:r>
      <w:r>
        <w:rPr>
          <w:rFonts w:ascii="Arial" w:eastAsia="Verdana" w:hAnsi="Arial" w:cs="Arial"/>
          <w:sz w:val="22"/>
        </w:rPr>
        <w:t>-</w:t>
      </w:r>
      <w:r w:rsidRPr="001D4868">
        <w:rPr>
          <w:rFonts w:ascii="Arial" w:eastAsia="Verdana" w:hAnsi="Arial" w:cs="Arial"/>
          <w:sz w:val="22"/>
        </w:rPr>
        <w:t xml:space="preserve"> финансирање и суфинансирање набавке опреме за основне школе које имају статус јавно признатих организатора активности формалног основног образовања одраслих на територији АП Војводине за 2025. годину, за набавку опреме неопходне за функционисање наставе и планирано је да се распише у фебруару месецу 2025. године.</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Списак министарстава и других организација, планираних активности у области образовања одраслих, извори средстава, детаљније се могу видети у </w:t>
      </w:r>
      <w:r w:rsidRPr="001D4868">
        <w:rPr>
          <w:rFonts w:ascii="Arial" w:eastAsia="Verdana" w:hAnsi="Arial" w:cs="Arial"/>
          <w:b/>
          <w:sz w:val="22"/>
        </w:rPr>
        <w:t>Прилогу број 6</w:t>
      </w:r>
      <w:r w:rsidRPr="001D4868">
        <w:rPr>
          <w:rFonts w:ascii="Arial" w:eastAsia="Verdana" w:hAnsi="Arial" w:cs="Arial"/>
          <w:sz w:val="22"/>
        </w:rPr>
        <w:t>. који је одштампан уз ГПОО за 2025. годину, и чини његов саставни део.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Б) Приоритетна област: УНАПРЕЂЕЊЕ КВАЛИТЕТА У ОБРАЗОВАЊУ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2025 години, је планирано да се посебан акценат стави на унапређивању националног оквира квалитета неформалног образовања; подршци ЈПОА за спровођење активности према утврђеним стандардима квалитета; унапређивању институционалних и људских ресурса; даљи развоју ППУ и КВиС -а, као и на унапређењу социјалног партнерства и промоцији неформалног образовања и целоживотног учења.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складу са тим, а ради унапређивања ефикасности и квалитета, у оквиру Пројекта </w:t>
      </w:r>
      <w:r>
        <w:rPr>
          <w:rFonts w:ascii="Arial" w:eastAsia="Verdana" w:hAnsi="Arial" w:cs="Arial"/>
          <w:sz w:val="22"/>
        </w:rPr>
        <w:t>"</w:t>
      </w:r>
      <w:r w:rsidRPr="001D4868">
        <w:rPr>
          <w:rFonts w:ascii="Arial" w:eastAsia="Verdana" w:hAnsi="Arial" w:cs="Arial"/>
          <w:sz w:val="22"/>
        </w:rPr>
        <w:t>Подршка реформи дуалног система средњег стручног образовања и Националном оквиру квалификација у светлу целоживотног учења у Србији</w:t>
      </w:r>
      <w:r>
        <w:rPr>
          <w:rFonts w:ascii="Arial" w:eastAsia="Verdana" w:hAnsi="Arial" w:cs="Arial"/>
          <w:sz w:val="22"/>
        </w:rPr>
        <w:t>"</w:t>
      </w:r>
      <w:r w:rsidRPr="001D4868">
        <w:rPr>
          <w:rFonts w:ascii="Arial" w:eastAsia="Verdana" w:hAnsi="Arial" w:cs="Arial"/>
          <w:sz w:val="22"/>
        </w:rPr>
        <w:t xml:space="preserve">, припремљен је </w:t>
      </w:r>
      <w:r w:rsidRPr="001D4868">
        <w:rPr>
          <w:rFonts w:ascii="Arial" w:eastAsia="Verdana" w:hAnsi="Arial" w:cs="Arial"/>
          <w:i/>
          <w:sz w:val="22"/>
        </w:rPr>
        <w:t>Предлог измена и допуна стандарда за самовредновање и спољашње вредновање</w:t>
      </w:r>
      <w:r w:rsidRPr="001D4868">
        <w:rPr>
          <w:rFonts w:ascii="Arial" w:eastAsia="Verdana" w:hAnsi="Arial" w:cs="Arial"/>
          <w:sz w:val="22"/>
        </w:rPr>
        <w:t xml:space="preserve"> за програме обука, активност признавања претходног учења и услуга каријерног вођења и саветовања. Припремљене су и пратеће смернице које су намењене бољем разумевању оквира квалитета, односно области, стандарда и показатеља који служе за процену квалитета рада ЈПОА. У смерницама су дате илустрације и примери који описују како се могу прикупити докази за показатеље кроз анализу документације, посматрање различитих активности и упитници, анкете и разговоре са различитим циљним групама.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Поред наведеног, припремљени су и предлози за унапређивање подзаконских аката којима се ближе уређује поступак акредитације програма неформалног образовања и активности признавања претходног учења ради њиховог усаглашавања са Законом о изменама и допунама Закона о НОКС-у.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Посебна пажња посвећена је унапређивању стандарда за програме и услуге КВиС, које је припремио Институт за педагогију и андрагогију Филозофског факултета Универзитета у Београду, као и припреми акта којим се ближе уређује методологија рада Савета за НОКС и секторских већа као тела релевантних за унапређивање система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Узимајући у обзир идентификоване изазове у систему образовања одраслих који се односе на ниску партиципацију одраслих у програмима формалног и неформалног образовања одраслих, неодговарајућу мрежу акредитованих пружалаца услуга и недовољну релевантност програма обука, у наредном периоду обезбеђена је подршка Пројекта </w:t>
      </w:r>
      <w:r>
        <w:rPr>
          <w:rFonts w:ascii="Arial" w:eastAsia="Verdana" w:hAnsi="Arial" w:cs="Arial"/>
          <w:sz w:val="22"/>
        </w:rPr>
        <w:t>"</w:t>
      </w:r>
      <w:r w:rsidRPr="001D4868">
        <w:rPr>
          <w:rFonts w:ascii="Arial" w:eastAsia="Verdana" w:hAnsi="Arial" w:cs="Arial"/>
          <w:sz w:val="22"/>
        </w:rPr>
        <w:t>Повећана понуда и диверзификација акредитованих обука</w:t>
      </w:r>
      <w:r>
        <w:rPr>
          <w:rFonts w:ascii="Arial" w:eastAsia="Verdana" w:hAnsi="Arial" w:cs="Arial"/>
          <w:sz w:val="22"/>
        </w:rPr>
        <w:t>"</w:t>
      </w:r>
      <w:r w:rsidRPr="001D4868">
        <w:rPr>
          <w:rFonts w:ascii="Arial" w:eastAsia="Verdana" w:hAnsi="Arial" w:cs="Arial"/>
          <w:sz w:val="22"/>
        </w:rPr>
        <w:t xml:space="preserve"> у области неформалног образовања и пружалаца обука за образовање одраслих који се финансира из програма ИПА 2020 као и ИПА 2022 Пројекта. Једна од компоненти ИПА 2020 Пројекта усмерена је на унапређивање квалитета неформалног образовања у Републици Србији кроз примену принципа целоживотног учења и усаглашавање са европским стандардима. То подразумева: унапређење националног оквира за обезбеђење квалитета образовања одраслих кроз анализу пракси из ЕУ и прилагођавање националним потребама; организовање колегијалног учења кроз размене искустава са европским земљама; припрему предлога за унапређење стандарда акредитације за организације које се баве образовањем одраслих, укључујући услуге КВиС и активности ППУ; израду водича и пратеће документације за лиценцирање и примену стандарда самопроцене и екстерне евалуације; подршку правном усаглашавању са европским регулативама и стандардима, укључујући прилагођавање законодавства у вези са професионалном рехабилитацијом.</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Посебну подршку систему образовања одраслих осигураће и планиране реформе система НОКС које се односе на унапређење кључних компетенција у стандардима квалификација у складу са европским смерницама; развој и пилотирање програма за развој кључних компетенција; увођење микрокреденцијала у систем НОКС; подршка правним реформама и израда смерница за пуну примену међународних стандарда.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Од посебног значаја ће бити и унапређен Подрегистар ЈПОА као и дигитализација поступка акредитације програма и стицање статуса ЈПОА чије је унапређивање започето у току 2023. године. Новина је такође и започет поступак омогућавања штампе јавних исправа из система ЈИСП, као и измена и допуна подзаконског акта који регулише вођење евиденције у области неформалног образовања.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наредном периоду биће сагледана могућност повезивања Подрегистра ЈПОА са европским порталом, по узору на везу успостављену између Подрегистра стандарда квалификација и европског портала квалификација, чиме су квалификације које се стичу у Републици Србији постале транспарентне и упоредиве на међународном нивоу.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НАЈУ кроз усвојен систем менаџмента квалитета према захтевима стандарда ИСО 9001:2015 за области: Развој и спровођења обука за образовање одраслих и Развој и акредитација реализатора као стратешку одлуку, наставља рад на побољшању њене укупне перформансе у тежњи да пружи чврсту основу за иницијативе за одрживи развој. Политика квалитета НАЈУ је саставни део укупне политике и стратегије Академије и заснива се на опредељењу НАЈУ да задовољи потребе корисника обука и свих осталих заинтересованих страна на принципима система менаџмента квалитета. У том циљу унапређена је и посебна област Управљање квалитетом као део Предлога Општег програма обуке државних службеника за 2025. годину, која укључује и менторство у области управљања квалитетом, а чије усвајање је тренутно у току према Пословнику Владе Републике Србије. НАЈУ је опредељена за висок квалитет својих услуга образовања које пружа запосленима у државној управи и у локалној самоуправи. У том смислу је важно обезбедити сталност и поновљивост обезбеђења квалитета услуге, уз стално побољшавање. Важан корак у том правцу јесте и спроведен процес екстерне евалуације, што је резултовало не само извештајем о утврђеном стању, већ и планом за побољшање квалитета и учинка. Израда анализе постојећег стања обухватила је организациону структуру и систематизацију радних места; начин рада руководства; интерну и екстерну комуникацију; интерну и екстерну документацију; идентификацију и анализу процеса рада; ресурсе (људске и материјалне); активности реализације. Сачињена је и упоредна процена са установама сличне намене у државама из окружења у циљу проналажења оптималног избора добрих пракси у циљу идентификације могућности за рационализацију и за побољшање квалитета и учинка. Развојно праћење тренера, као посебно развијена процедура и наставак рада Сталне програмске комисије за тренинг тренера у 2025. години, коју чине стручњаци из ове тематске области и запослени у Националној академији, наставља са радом у реаструктуираном сазиву. Главни задаци Комисије јесу да утврди смернице развоја одређене </w:t>
      </w:r>
      <w:r w:rsidRPr="001D4868">
        <w:rPr>
          <w:rFonts w:ascii="Arial" w:eastAsia="Verdana" w:hAnsi="Arial" w:cs="Arial"/>
          <w:sz w:val="22"/>
        </w:rPr>
        <w:lastRenderedPageBreak/>
        <w:t>тематске области, пружи предлоге за унапређење у складу са утврђеним потребама за стручним усавршавањем и гради мрежу НАЈУ реализатора. Посебан допринос ове комисије и током наредне године огледаће се у даљем унапређењу методологије за развојно праћење тренера и спровођење праћења перформанси тренера, као и реализације других активности планираних НАЈУ тренинг академијом.</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Даљи развој КВиС-а и ППУ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Актуелном Стратегијом развоја образовања и васпитања у Републици Србији до 2030. године, КВиС је препознато као важан систем који мора да постане подједнако доступан за ученике, студенте и за различите категорије одраслих током целог образовног и животног пута, а не само приликом одлуке о избору иницијалног образовног профила или обуке. У складу са поменутом Стратегијом, Институт за педагогију и андрагогију Филозофског факултета у Београду је, финансиран од Министарство просвете и Канцеларије за дуално образовање и НОКС реализовао пројекат у периоду децембар 2022 </w:t>
      </w:r>
      <w:r>
        <w:rPr>
          <w:rFonts w:ascii="Arial" w:eastAsia="Verdana" w:hAnsi="Arial" w:cs="Arial"/>
          <w:sz w:val="22"/>
        </w:rPr>
        <w:t>-</w:t>
      </w:r>
      <w:r w:rsidRPr="001D4868">
        <w:rPr>
          <w:rFonts w:ascii="Arial" w:eastAsia="Verdana" w:hAnsi="Arial" w:cs="Arial"/>
          <w:sz w:val="22"/>
        </w:rPr>
        <w:t xml:space="preserve"> новембар 2023. године, о </w:t>
      </w:r>
      <w:r w:rsidRPr="001D4868">
        <w:rPr>
          <w:rFonts w:ascii="Arial" w:eastAsia="Verdana" w:hAnsi="Arial" w:cs="Arial"/>
          <w:i/>
          <w:sz w:val="22"/>
        </w:rPr>
        <w:t>Имплементацији услуга каријерног вођења и саветовања</w:t>
      </w:r>
      <w:r w:rsidRPr="001D4868">
        <w:rPr>
          <w:rFonts w:ascii="Arial" w:eastAsia="Verdana" w:hAnsi="Arial" w:cs="Arial"/>
          <w:sz w:val="22"/>
        </w:rPr>
        <w:t>. Истраживање је резултирало бројним налазима, од којих најважнији указују да је уочено да се тенденције ангажовања у области КВИС-а у Републици Србији, из угла релевантних стејкхолдера могу груписати у неколико релативно хомогених целина, а то су тенденције везане за: (1) Легислативу КВИС-а; (2) Повећање квалитетне понуде КВИС-а; (3) Истраживање КВИС-а. Што се тиче легислативе везане за услуге КВИС, можемо констатовати да је ова проблематика у Републици Србији актуелна последњих петнаестак година и да је њено законско регулисање усмерено кроз неколико различитих колосека: проблематика младих, ЈПОА и документа која се односе искључиво на услуге КВИС. Досадашње КВиС политике су од стране испитаника процењене као добре, јер нуде могућност унапређивања живота корисника услуга, а значајно је да апсолутно сви документи везани за образовање имају и делове који се односе на ову проблематику. Испитиване организације похваљују мултисекторску сарадњу у овој области, подршку партнера и других интересних група.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Иако је већина анализираних институција углавном првенствено усмерена на популацију у формалном школском образовању, значајно је да међу њима постоји свест потребе проширивања циљне групе и на друге популације, првенствено на полазнике из неформалног образовања, али и из других осетљивих група (Роми, мигранти, повратници из ЕУ, старији тешко запошљиви незапослени и сл.).</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Што се тиче развоја система праћења услуга КВиС и праћење његових ефеката, можемо констатовати да је ова тенденција присутна код свих анализираних организација, али сам систем није довољно развијен. Такође уочена је тенденција реализације бројних истраживања у овој области, од којих су нека у току, а нека су тек планирана. То значи да су анализиране институције свесне значаја овог сегмента, и да би у скоријој будућности овај сегмент требало да буде значајно унапређен.</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Након успешне реализације пројекта </w:t>
      </w:r>
      <w:r w:rsidRPr="001D4868">
        <w:rPr>
          <w:rFonts w:ascii="Arial" w:eastAsia="Verdana" w:hAnsi="Arial" w:cs="Arial"/>
          <w:i/>
          <w:sz w:val="22"/>
        </w:rPr>
        <w:t>Имплементација услуга КВиС</w:t>
      </w:r>
      <w:r w:rsidRPr="001D4868">
        <w:rPr>
          <w:rFonts w:ascii="Arial" w:eastAsia="Verdana" w:hAnsi="Arial" w:cs="Arial"/>
          <w:sz w:val="22"/>
        </w:rPr>
        <w:t xml:space="preserve">, Институт за педагогију и андрагогију Филозофског факултета у Београду је ангажован од стране Канцеларије за дуално образовање и НОК за реализацију пројекта </w:t>
      </w:r>
      <w:r w:rsidRPr="001D4868">
        <w:rPr>
          <w:rFonts w:ascii="Arial" w:eastAsia="Verdana" w:hAnsi="Arial" w:cs="Arial"/>
          <w:i/>
          <w:sz w:val="22"/>
        </w:rPr>
        <w:t>Подршка реформи дуалног система средњег стручног образовања и НОКС-а, у светлу целоживотног учења у Србији</w:t>
      </w:r>
      <w:r w:rsidRPr="001D4868">
        <w:rPr>
          <w:rFonts w:ascii="Arial" w:eastAsia="Verdana" w:hAnsi="Arial" w:cs="Arial"/>
          <w:sz w:val="22"/>
        </w:rPr>
        <w:t>, чије је трајање планирано током 2024. и 2025. године. На трагу резултата претходног пројекта, један од два важна задатка овог пројекта је да се унапреде Стандарди каријерног вођења и саветовања. Актуелни напори пројектног тима су усмерени на наглашавање различитих циљних група КВИС-а, који до сада нису стављани у фокус ових политика, контекстуализацију Стандарда кроз увођење категорија примера активности и њихових доказа. Пројекат је тренутно завршио са радионицама којима је био циљ да се предлози измена и унапређења представе релевантним стејхолдерима како би се прибавила њихова повратна информација. Други део пројекта, који ће бити реализована током 2025. године, усмерен је на побољшање имплементације КВИС-а у систему дуалног образовања.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Унапређени стандарди за КВиС биће полазна основа за доношење подзаконског акта за прикупљање података о имплементацији програма и услуга КВиС, као и примени стандарда за КВиС. Посебна пажња биће посвећена сертификацији каријерних практичара у циљу професионализације каријерних практичара.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Сагледавајући потребе и успостављене стандарде услуга КВиС, Агенција за квалификације планира, у сарадњи са партнерима, да у наредном периоду усмери активности на развијање алата у циљу подршке носиоцима активности КВиС у различитим секторима. Такођер, АзК ће радити на </w:t>
      </w:r>
      <w:r w:rsidRPr="001D4868">
        <w:rPr>
          <w:rFonts w:ascii="Arial" w:eastAsia="Verdana" w:hAnsi="Arial" w:cs="Arial"/>
          <w:sz w:val="22"/>
        </w:rPr>
        <w:lastRenderedPageBreak/>
        <w:t>стварању системских услова за професионализацију каријерних практичара, утврђивању и препознавању њихових компетенција.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i/>
          <w:sz w:val="22"/>
        </w:rPr>
        <w:t>Euroguidance</w:t>
      </w:r>
      <w:r w:rsidRPr="001D4868">
        <w:rPr>
          <w:rFonts w:ascii="Arial" w:eastAsia="Verdana" w:hAnsi="Arial" w:cs="Arial"/>
          <w:sz w:val="22"/>
        </w:rPr>
        <w:t xml:space="preserve"> центaр ће у оквиру Фондације Темпус и надаље подржавати унапређивање квалитета у области КВиС, организацијом годишњих конференција, вебинара и такмичења добрих пракси у области КВиС, као и активним учешћем у раду Радне групе за унапређење стандарда КВиС. У оквиру активности ЕПАЛЕ мреже, у 2025. години, ће се реализовати низ активности подршке КВиС практичарима из институција у основним и средњим школама које реализују програме образовања одраслих.</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Када је реч о активности ППУ у Републици Србији је у последњим годинама остварен значајан напредак. Процес је постепено увођен у различите секторе, са фокусом на повећање броја пружалаца услуга ППУ. Тренутно, седам акредитованих институција нуде поступак ППУ за признавање 10 квалификација обухватајући укупно 72 занимања. Ово омогућава шири приступ особама које траже формално признавање свог неформалног и информалног учења. Напори за успостављање оквира за активност ППУ подржани су развојем смерница, упутстава и алата за процену исхода претходног учења.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оквиру IPA 2020 пројекта, 80 релевантних организатора активности образовања одраслих биће подржано у јачању својих капацитета за стицање статуса ЈПОА за обуке и/или спровођење активности ППУ. Ова иницијатива има за циљ да побољша мрежу пружалаца услуга ППУ, обезбеђујући доступност и унапређивање квалитета услуге. Систем се такође проширује тако да обухвати додатне секторе и квалификације, уз подршку развоја нових инструмената и алата који ће олакшати процес ППУ. Поред тога, као део IPA 2020 Пројекта, биће спроведена студија која истражује изводљивост проширења примене активности ППУ на друге организације, јер је тренутно ограничена на средње стручне школе са статусом JPOA. Пилотирање овог процеса је планирано у најмање 10 акредитованих JPOA. Додатно, посебна студија ће проценити могућност за имплементацију активности ППУ у систему високог образовања.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Унапређење социјалног партнерства и промоција неформалног образовања и целоживотног учења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претходном периоду донете су одлуке о оснивању секторских већа којом приликом је именовано преко 260 чланова секторских већа, представника социјалних партнера из реда послодаваца, синдиката, струковних комора, удружења, кластера, система образовања, министарстава, завода и сл. Једна од надлежности секторских већа је и промовисање могућности за образовање, обука и запошљавање унутар сектора као и промовисање дијалога и непосредна сарадња између света рада и образовања. У претходном периоду спроведена је евалуација рада секторских већа уз подршку ЕБРД. Циљ студије је да се аналитички сагледа постојећи оквир за рад секторских већа и да се на основу резултата евалуације припреме препоруке за оптимизацију и унапређење ефикасности рада секторских већа и активније укључивање приватног сектора у њихов рад. На тај начин унапредиће се и тржишна релевантност система квалификација Републике Србије. На темељу резултата студије припрема се акт који ће ближе уредити рад секторских већа.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оквиру ИПА 2020 пројекта планиране су активности које за исход имају унапређено социјално партнерство, промоцију неформалног образовања одраслих и повећану видљивост могућности целоживотног учења и различитих путева за стицање квалификација и умрежавање ЈПОА са социјалним партнерима. Планирано је да се припреми документ са анализом социјалног партнерства за спровођење активности образовања одраслих и препорукама за унапређење сарадње организатора активности образовања одраслих, релевантних надлежних институција и других социјалних партнера.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Унапређење људских и институционалних ресурса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Како би се осигурао квалитет неформалног образовања одраслих законским и подзаконским актима прописани су услови у погледу кадра за остваривање активности образовања одраслих, као и услови у погледу експертизе у области програма и услови у погледу компетентности за образовни рад са одраслим.</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Имплементација програма основног образовања одраслих по моделу ФООО захтева посебну обуку кадра ангажованог на његовом спровођењу.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У 64 основне школе, које планирају реализацију програма ФООО, у школској 2024/2025. години, за 5471 полазника, учествује 813 наставника. Стручно усавршавање за реализацију програма ФООО у 2025. години, планирано је за 115 наставника за Модул 1 </w:t>
      </w:r>
      <w:r>
        <w:rPr>
          <w:rFonts w:ascii="Arial" w:eastAsia="Verdana" w:hAnsi="Arial" w:cs="Arial"/>
          <w:sz w:val="22"/>
        </w:rPr>
        <w:t>-</w:t>
      </w:r>
      <w:r w:rsidRPr="001D4868">
        <w:rPr>
          <w:rFonts w:ascii="Arial" w:eastAsia="Verdana" w:hAnsi="Arial" w:cs="Arial"/>
          <w:sz w:val="22"/>
        </w:rPr>
        <w:t xml:space="preserve"> основне андрагошке вештине. За Модул </w:t>
      </w:r>
      <w:r w:rsidRPr="001D4868">
        <w:rPr>
          <w:rFonts w:ascii="Arial" w:eastAsia="Verdana" w:hAnsi="Arial" w:cs="Arial"/>
          <w:sz w:val="22"/>
        </w:rPr>
        <w:lastRenderedPageBreak/>
        <w:t xml:space="preserve">2 </w:t>
      </w:r>
      <w:r>
        <w:rPr>
          <w:rFonts w:ascii="Arial" w:eastAsia="Verdana" w:hAnsi="Arial" w:cs="Arial"/>
          <w:sz w:val="22"/>
        </w:rPr>
        <w:t>-</w:t>
      </w:r>
      <w:r w:rsidRPr="001D4868">
        <w:rPr>
          <w:rFonts w:ascii="Arial" w:eastAsia="Verdana" w:hAnsi="Arial" w:cs="Arial"/>
          <w:sz w:val="22"/>
        </w:rPr>
        <w:t xml:space="preserve"> обука за имплементацију појединачних предмета у програму ФООО планирана је обука за 574 наставника. Модул 3 </w:t>
      </w:r>
      <w:r>
        <w:rPr>
          <w:rFonts w:ascii="Arial" w:eastAsia="Verdana" w:hAnsi="Arial" w:cs="Arial"/>
          <w:sz w:val="22"/>
        </w:rPr>
        <w:t>-</w:t>
      </w:r>
      <w:r w:rsidRPr="001D4868">
        <w:rPr>
          <w:rFonts w:ascii="Arial" w:eastAsia="Verdana" w:hAnsi="Arial" w:cs="Arial"/>
          <w:sz w:val="22"/>
        </w:rPr>
        <w:t xml:space="preserve"> обука андрагошких асистената, у 2025. години, потребно је спровести за 25 андрагошких асистената. У протеклом периоду преко 500 наставника је већ унапредило своје компетенције за имплементацију програма за ФООО и за рад са одраслима. Када говоримо о андрагошким асистентима, њих 46 је већ обучено на прописани начин.</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Ради обезбеђивања системског решења и сагледавања могућности да се андрагошке компетенције интегришу у систем иницијалног образовања наставника у току 2024. године, започеле су анализа постојећег стања када је реч о квалификацији наставника </w:t>
      </w:r>
      <w:r>
        <w:rPr>
          <w:rFonts w:ascii="Arial" w:eastAsia="Verdana" w:hAnsi="Arial" w:cs="Arial"/>
          <w:sz w:val="22"/>
        </w:rPr>
        <w:t>-</w:t>
      </w:r>
      <w:r w:rsidRPr="001D4868">
        <w:rPr>
          <w:rFonts w:ascii="Arial" w:eastAsia="Verdana" w:hAnsi="Arial" w:cs="Arial"/>
          <w:sz w:val="22"/>
        </w:rPr>
        <w:t xml:space="preserve"> од мапирања постојећих квалификација и занимања, преко анализе понуде образовања и потреба тржишта рада, до дубинске квалитативне анализе студијских програма, како би се дефинисале могуће опције за квалификације наставника. Ове опције биће дискутоване током широког консултативног процеса и у 2025. години, како би се постигао консензус на националном нивоу и развиле иницијативе и елаборати за развој стандарда квалификација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Преглед планиране подршке унапређења компетенција стручног кадра у школској 2024/25, као и већ остварена подршка за унапређивање компетенцијa кадра у области ФООО у претходној школској години, дати су у </w:t>
      </w:r>
      <w:r w:rsidRPr="001D4868">
        <w:rPr>
          <w:rFonts w:ascii="Arial" w:eastAsia="Verdana" w:hAnsi="Arial" w:cs="Arial"/>
          <w:i/>
          <w:sz w:val="22"/>
        </w:rPr>
        <w:t xml:space="preserve">Прилогу број 7. </w:t>
      </w:r>
      <w:r w:rsidRPr="001D4868">
        <w:rPr>
          <w:rFonts w:ascii="Arial" w:eastAsia="Verdana" w:hAnsi="Arial" w:cs="Arial"/>
          <w:sz w:val="22"/>
        </w:rPr>
        <w:t>који је одштампан уз ГПОО за 2025. годину, и чини његов саставни део.</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Планом за 2025. годину, наставља се са континуираним стручним усавршавањем и стицањем андрагошких компетенција кадра ангажованог у активностима образовања одраслих у складу са важећим Правилником о ближим условима у погледу програма, кадра, простора, опреме и наставних средстава за стицање статуса јавно признатог организатора активности образовања одраслих(</w:t>
      </w:r>
      <w:r>
        <w:rPr>
          <w:rFonts w:ascii="Arial" w:eastAsia="Verdana" w:hAnsi="Arial" w:cs="Arial"/>
          <w:i/>
          <w:sz w:val="22"/>
        </w:rPr>
        <w:t>"</w:t>
      </w:r>
      <w:r w:rsidRPr="001D4868">
        <w:rPr>
          <w:rFonts w:ascii="Arial" w:eastAsia="Verdana" w:hAnsi="Arial" w:cs="Arial"/>
          <w:i/>
          <w:sz w:val="22"/>
        </w:rPr>
        <w:t>Службени гласник РС</w:t>
      </w:r>
      <w:r>
        <w:rPr>
          <w:rFonts w:ascii="Arial" w:eastAsia="Verdana" w:hAnsi="Arial" w:cs="Arial"/>
          <w:i/>
          <w:sz w:val="22"/>
        </w:rPr>
        <w:t>"</w:t>
      </w:r>
      <w:r w:rsidRPr="001D4868">
        <w:rPr>
          <w:rFonts w:ascii="Arial" w:eastAsia="Verdana" w:hAnsi="Arial" w:cs="Arial"/>
          <w:sz w:val="22"/>
        </w:rPr>
        <w:t xml:space="preserve">, </w:t>
      </w:r>
      <w:r w:rsidRPr="001D4868">
        <w:rPr>
          <w:rFonts w:ascii="Arial" w:eastAsia="Verdana" w:hAnsi="Arial" w:cs="Arial"/>
          <w:i/>
          <w:sz w:val="22"/>
        </w:rPr>
        <w:t>број 130/21</w:t>
      </w:r>
      <w:r w:rsidRPr="001D4868">
        <w:rPr>
          <w:rFonts w:ascii="Arial" w:eastAsia="Verdana" w:hAnsi="Arial" w:cs="Arial"/>
          <w:sz w:val="22"/>
        </w:rPr>
        <w:t>).</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Министарство просвете је у сарадњи са Институтом за педагогију и андрагогију Филозофског факултета у Београду и Заводом за унапређивање образовања и васпитања, започело организацију и реализацију обуке за стручни кадар школа ЈПОА коме недостају основне андрагошке вештине за рад у активностима неформалног образовања одраслих (предаваче, тренере, водитеље, инструкторе). Обуке су започеле у октобру месецу 2024. године, и реализована је 31 обука за: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Модул 1 </w:t>
      </w:r>
      <w:r>
        <w:rPr>
          <w:rFonts w:ascii="Arial" w:eastAsia="Verdana" w:hAnsi="Arial" w:cs="Arial"/>
          <w:sz w:val="22"/>
        </w:rPr>
        <w:t>-</w:t>
      </w:r>
      <w:r w:rsidRPr="001D4868">
        <w:rPr>
          <w:rFonts w:ascii="Arial" w:eastAsia="Verdana" w:hAnsi="Arial" w:cs="Arial"/>
          <w:sz w:val="22"/>
        </w:rPr>
        <w:t xml:space="preserve"> (Основни принципи, карактеристике и стилови учења) </w:t>
      </w:r>
      <w:r>
        <w:rPr>
          <w:rFonts w:ascii="Arial" w:eastAsia="Verdana" w:hAnsi="Arial" w:cs="Arial"/>
          <w:sz w:val="22"/>
        </w:rPr>
        <w:t>-</w:t>
      </w:r>
      <w:r w:rsidRPr="001D4868">
        <w:rPr>
          <w:rFonts w:ascii="Arial" w:eastAsia="Verdana" w:hAnsi="Arial" w:cs="Arial"/>
          <w:sz w:val="22"/>
        </w:rPr>
        <w:t xml:space="preserve"> обуке су организоване на девет локација за 16 школа;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Модул 3 </w:t>
      </w:r>
      <w:r>
        <w:rPr>
          <w:rFonts w:ascii="Arial" w:eastAsia="Verdana" w:hAnsi="Arial" w:cs="Arial"/>
          <w:sz w:val="22"/>
        </w:rPr>
        <w:t>-</w:t>
      </w:r>
      <w:r w:rsidRPr="001D4868">
        <w:rPr>
          <w:rFonts w:ascii="Arial" w:eastAsia="Verdana" w:hAnsi="Arial" w:cs="Arial"/>
          <w:sz w:val="22"/>
        </w:rPr>
        <w:t xml:space="preserve"> (Управљање образовном групом) </w:t>
      </w:r>
      <w:r>
        <w:rPr>
          <w:rFonts w:ascii="Arial" w:eastAsia="Verdana" w:hAnsi="Arial" w:cs="Arial"/>
          <w:sz w:val="22"/>
        </w:rPr>
        <w:t>-</w:t>
      </w:r>
      <w:r w:rsidRPr="001D4868">
        <w:rPr>
          <w:rFonts w:ascii="Arial" w:eastAsia="Verdana" w:hAnsi="Arial" w:cs="Arial"/>
          <w:sz w:val="22"/>
        </w:rPr>
        <w:t xml:space="preserve"> обуке су организоване на 10 локација за 17 школа;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Модул 5 </w:t>
      </w:r>
      <w:r>
        <w:rPr>
          <w:rFonts w:ascii="Arial" w:eastAsia="Verdana" w:hAnsi="Arial" w:cs="Arial"/>
          <w:sz w:val="22"/>
        </w:rPr>
        <w:t>-</w:t>
      </w:r>
      <w:r w:rsidRPr="001D4868">
        <w:rPr>
          <w:rFonts w:ascii="Arial" w:eastAsia="Verdana" w:hAnsi="Arial" w:cs="Arial"/>
          <w:sz w:val="22"/>
        </w:rPr>
        <w:t xml:space="preserve"> (Методе и технике процене постигнућа полазника) </w:t>
      </w:r>
      <w:r>
        <w:rPr>
          <w:rFonts w:ascii="Arial" w:eastAsia="Verdana" w:hAnsi="Arial" w:cs="Arial"/>
          <w:sz w:val="22"/>
        </w:rPr>
        <w:t>-</w:t>
      </w:r>
      <w:r w:rsidRPr="001D4868">
        <w:rPr>
          <w:rFonts w:ascii="Arial" w:eastAsia="Verdana" w:hAnsi="Arial" w:cs="Arial"/>
          <w:sz w:val="22"/>
        </w:rPr>
        <w:t xml:space="preserve"> обуке су организоване на 12 локација за 18 школа.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обукама је до сада учествовало око 700 наставника.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Министарство просвете и у 2025. години, планира подршку стручном усавршавању кадра ангажованог у активностима ЈПОА и то за реализацију обука за Модул 2 </w:t>
      </w:r>
      <w:r>
        <w:rPr>
          <w:rFonts w:ascii="Arial" w:eastAsia="Verdana" w:hAnsi="Arial" w:cs="Arial"/>
          <w:sz w:val="22"/>
        </w:rPr>
        <w:t>-</w:t>
      </w:r>
      <w:r w:rsidRPr="001D4868">
        <w:rPr>
          <w:rFonts w:ascii="Arial" w:eastAsia="Verdana" w:hAnsi="Arial" w:cs="Arial"/>
          <w:sz w:val="22"/>
        </w:rPr>
        <w:t xml:space="preserve"> (Мотивацијa у учењу одраслих) и за Модул 4 </w:t>
      </w:r>
      <w:r>
        <w:rPr>
          <w:rFonts w:ascii="Arial" w:eastAsia="Verdana" w:hAnsi="Arial" w:cs="Arial"/>
          <w:sz w:val="22"/>
        </w:rPr>
        <w:t>-</w:t>
      </w:r>
      <w:r w:rsidRPr="001D4868">
        <w:rPr>
          <w:rFonts w:ascii="Arial" w:eastAsia="Verdana" w:hAnsi="Arial" w:cs="Arial"/>
          <w:sz w:val="22"/>
        </w:rPr>
        <w:t xml:space="preserve"> (Методе и технике интерактивног образовног рада са одраслима).</w:t>
      </w:r>
    </w:p>
    <w:p w:rsidR="001D4868" w:rsidRPr="001D4868" w:rsidRDefault="001D4868" w:rsidP="001D4868">
      <w:pPr>
        <w:spacing w:before="120" w:after="120" w:line="210" w:lineRule="atLeast"/>
        <w:contextualSpacing w:val="0"/>
        <w:jc w:val="center"/>
        <w:rPr>
          <w:rFonts w:ascii="Arial" w:hAnsi="Arial" w:cs="Arial"/>
        </w:rPr>
      </w:pPr>
      <w:r w:rsidRPr="001D4868">
        <w:rPr>
          <w:rFonts w:ascii="Arial" w:eastAsia="Verdana" w:hAnsi="Arial" w:cs="Arial"/>
          <w:sz w:val="22"/>
        </w:rPr>
        <w:t>V) ОКВИРНИ ОБИМ ФИНАНСИЈСКИХ СРЕДСТАВА ЗА РЕАЛИЗАЦИЈУ ГОДИШЊЕГ ПЛАНА ОБРАЗОВАЊА ОДРАСЛИХ ЗА 2025. ГОДИНУ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Полазећи од одредби Закона о образовању одраслих које прописују начин планирања и финансирања образовања одраслих, ГПОО за 2025. годину, садржи активности које се финансирају из буџета Републике Србије, у складу са чланом 59. став 1. тачка 2) овог закона.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Оквирни обим потребних финансијских средстава за реализацију ГПОО за 2025. годину, приказан је детаљно за активности образовања одраслих које je Министарство просвете прeдвидело у буџету Републике Србије за 2025. годину, у укупном износу од </w:t>
      </w:r>
      <w:r w:rsidRPr="001D4868">
        <w:rPr>
          <w:rFonts w:ascii="Arial" w:eastAsia="Verdana" w:hAnsi="Arial" w:cs="Arial"/>
          <w:b/>
          <w:sz w:val="22"/>
        </w:rPr>
        <w:t xml:space="preserve">792.592.000,00 </w:t>
      </w:r>
      <w:r w:rsidRPr="001D4868">
        <w:rPr>
          <w:rFonts w:ascii="Arial" w:eastAsia="Verdana" w:hAnsi="Arial" w:cs="Arial"/>
          <w:sz w:val="22"/>
        </w:rPr>
        <w:t xml:space="preserve">динара. Преглед оквирног обима средстава за активности образовања одраслих у 2025. години, која се обезбеђују од стране Министарства просвете, приказан је у </w:t>
      </w:r>
      <w:r w:rsidRPr="001D4868">
        <w:rPr>
          <w:rFonts w:ascii="Arial" w:eastAsia="Verdana" w:hAnsi="Arial" w:cs="Arial"/>
          <w:i/>
          <w:sz w:val="22"/>
        </w:rPr>
        <w:t>Табели број 7.</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Табела број 7. Преглед оквирног обима средстава за активности образовања одраслих у 2025. години, која се обезбеђују од стране Министарства просвете</w:t>
      </w:r>
    </w:p>
    <w:tbl>
      <w:tblPr>
        <w:tblW w:w="4950" w:type="pct"/>
        <w:tblInd w:w="10" w:type="dxa"/>
        <w:tblCellMar>
          <w:left w:w="10" w:type="dxa"/>
          <w:right w:w="10" w:type="dxa"/>
        </w:tblCellMar>
        <w:tblLook w:val="0000" w:firstRow="0" w:lastRow="0" w:firstColumn="0" w:lastColumn="0" w:noHBand="0" w:noVBand="0"/>
      </w:tblPr>
      <w:tblGrid>
        <w:gridCol w:w="3155"/>
        <w:gridCol w:w="2807"/>
        <w:gridCol w:w="1418"/>
        <w:gridCol w:w="2902"/>
      </w:tblGrid>
      <w:tr w:rsidR="001D4868" w:rsidRPr="001D4868" w:rsidTr="00760624">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 Основно образовање одраслих</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Активности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Извор средстава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Потребна средства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 2025. години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lastRenderedPageBreak/>
              <w:t>(у динарима)</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Ангажовање наставника и андрагошких асистената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w:t>
            </w:r>
            <w:r w:rsidRPr="001D4868">
              <w:rPr>
                <w:rFonts w:ascii="Arial" w:eastAsia="Verdana" w:hAnsi="Arial" w:cs="Arial"/>
                <w:sz w:val="22"/>
              </w:rPr>
              <w:t>школе+КПЗ</w:t>
            </w:r>
            <w:r w:rsidRPr="001D4868">
              <w:rPr>
                <w:rFonts w:ascii="Arial" w:eastAsia="Verdana" w:hAnsi="Arial" w:cs="Arial"/>
                <w:b/>
                <w:sz w:val="22"/>
              </w:rPr>
              <w:t>)</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МП</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(буџет РС)</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775.672.000,00</w:t>
            </w:r>
          </w:p>
        </w:tc>
      </w:tr>
      <w:tr w:rsidR="001D4868" w:rsidRPr="001D4868" w:rsidTr="00760624">
        <w:tblPrEx>
          <w:tblCellMar>
            <w:top w:w="0" w:type="dxa"/>
            <w:bottom w:w="0" w:type="dxa"/>
          </w:tblCellMar>
        </w:tblPrEx>
        <w:tc>
          <w:tcPr>
            <w:tcW w:w="0" w:type="auto"/>
            <w:gridSpan w:val="3"/>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2. Средње образовање одраслих</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Активности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Извор средстава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Потребна средства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 2025. години</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 динарима)</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Ванредни ученици старији од 17 година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МП</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(буџет РС)</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5.920.000,00</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Подршка унапређењу образовања одраслих</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МП</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(буџет РС)</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10.500.000,00</w:t>
            </w:r>
          </w:p>
        </w:tc>
      </w:tr>
      <w:tr w:rsidR="001D4868" w:rsidRPr="001D4868" w:rsidTr="00760624">
        <w:tblPrEx>
          <w:tblCellMar>
            <w:top w:w="0" w:type="dxa"/>
            <w:bottom w:w="0" w:type="dxa"/>
          </w:tblCellMar>
        </w:tblPrEx>
        <w:tc>
          <w:tcPr>
            <w:tcW w:w="0" w:type="auto"/>
            <w:gridSpan w:val="3"/>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r>
      <w:tr w:rsidR="001D4868" w:rsidRPr="001D4868" w:rsidTr="00760624">
        <w:tblPrEx>
          <w:tblCellMar>
            <w:top w:w="0" w:type="dxa"/>
            <w:bottom w:w="0" w:type="dxa"/>
          </w:tblCellMar>
        </w:tblPrEx>
        <w:tc>
          <w:tcPr>
            <w:tcW w:w="0" w:type="auto"/>
            <w:vMerge w:val="restart"/>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3. Завод за унапређивање образовања и васпитања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Активности</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Извор средстава</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Потребна средства у 2025. години (у динарима)</w:t>
            </w:r>
          </w:p>
        </w:tc>
      </w:tr>
      <w:tr w:rsidR="001D4868" w:rsidRPr="001D4868" w:rsidTr="00760624">
        <w:tblPrEx>
          <w:tblCellMar>
            <w:top w:w="0" w:type="dxa"/>
            <w:bottom w:w="0" w:type="dxa"/>
          </w:tblCellMar>
        </w:tblPrEx>
        <w:tc>
          <w:tcPr>
            <w:tcW w:w="0" w:type="auto"/>
            <w:vMerge/>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contextualSpacing w:val="0"/>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Стручно образовање и образовање одраслих</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МП</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(буџет РС)</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500. 000,00</w:t>
            </w:r>
          </w:p>
        </w:tc>
      </w:tr>
      <w:tr w:rsidR="001D4868" w:rsidRPr="001D4868" w:rsidTr="00760624">
        <w:tblPrEx>
          <w:tblCellMar>
            <w:top w:w="0" w:type="dxa"/>
            <w:bottom w:w="0" w:type="dxa"/>
          </w:tblCellMar>
        </w:tblPrEx>
        <w:tc>
          <w:tcPr>
            <w:tcW w:w="0" w:type="auto"/>
            <w:gridSpan w:val="3"/>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Укупно 1 + 2 + 3</w:t>
            </w:r>
          </w:p>
        </w:tc>
        <w:tc>
          <w:tcPr>
            <w:tcW w:w="0" w:type="auto"/>
            <w:tcBorders>
              <w:top w:val="single" w:sz="1" w:space="0" w:color="000000"/>
              <w:left w:val="single" w:sz="1" w:space="0" w:color="000000"/>
              <w:bottom w:val="single" w:sz="1" w:space="0" w:color="000000"/>
              <w:right w:val="single" w:sz="1" w:space="0" w:color="000000"/>
            </w:tcBorders>
          </w:tcPr>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b/>
                <w:sz w:val="22"/>
              </w:rPr>
              <w:t>792.592.000,00</w:t>
            </w:r>
          </w:p>
        </w:tc>
      </w:tr>
    </w:tbl>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За реализацију активности образовања одраслих средства су планирана Законом о буџету Републике Србије за 2025. годину, (</w:t>
      </w:r>
      <w:r>
        <w:rPr>
          <w:rFonts w:ascii="Arial" w:eastAsia="Verdana" w:hAnsi="Arial" w:cs="Arial"/>
          <w:sz w:val="22"/>
        </w:rPr>
        <w:t>"</w:t>
      </w:r>
      <w:r w:rsidRPr="001D4868">
        <w:rPr>
          <w:rFonts w:ascii="Arial" w:eastAsia="Verdana" w:hAnsi="Arial" w:cs="Arial"/>
          <w:sz w:val="22"/>
        </w:rPr>
        <w:t>Службени гласник РС</w:t>
      </w:r>
      <w:r>
        <w:rPr>
          <w:rFonts w:ascii="Arial" w:eastAsia="Verdana" w:hAnsi="Arial" w:cs="Arial"/>
          <w:sz w:val="22"/>
        </w:rPr>
        <w:t>"</w:t>
      </w:r>
      <w:r w:rsidRPr="001D4868">
        <w:rPr>
          <w:rFonts w:ascii="Arial" w:eastAsia="Verdana" w:hAnsi="Arial" w:cs="Arial"/>
          <w:sz w:val="22"/>
        </w:rPr>
        <w:t>, број 94/24 од 28. новембра 2024) на разделу 26. Министарства просвете, у оквиру:</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Раздела 26 </w:t>
      </w:r>
      <w:r>
        <w:rPr>
          <w:rFonts w:ascii="Arial" w:eastAsia="Verdana" w:hAnsi="Arial" w:cs="Arial"/>
          <w:sz w:val="22"/>
        </w:rPr>
        <w:t>-</w:t>
      </w:r>
      <w:r w:rsidRPr="001D4868">
        <w:rPr>
          <w:rFonts w:ascii="Arial" w:eastAsia="Verdana" w:hAnsi="Arial" w:cs="Arial"/>
          <w:sz w:val="22"/>
        </w:rPr>
        <w:t xml:space="preserve"> Министарство просвете, Главе 26.1 Основно образовање, Програм 2003 Основно образовање, Функција 910, Програмска активност 0001 Реализација делатности основног образовања, економска класификација 411</w:t>
      </w:r>
      <w:r>
        <w:rPr>
          <w:rFonts w:ascii="Arial" w:eastAsia="Verdana" w:hAnsi="Arial" w:cs="Arial"/>
          <w:sz w:val="22"/>
        </w:rPr>
        <w:t>-</w:t>
      </w:r>
      <w:r w:rsidRPr="001D4868">
        <w:rPr>
          <w:rFonts w:ascii="Arial" w:eastAsia="Verdana" w:hAnsi="Arial" w:cs="Arial"/>
          <w:sz w:val="22"/>
        </w:rPr>
        <w:t xml:space="preserve"> Плате, додаци и накнаде запослених (зараде), у износу од 396.174.723,00 динара, економска класификација 412 </w:t>
      </w:r>
      <w:r>
        <w:rPr>
          <w:rFonts w:ascii="Arial" w:eastAsia="Verdana" w:hAnsi="Arial" w:cs="Arial"/>
          <w:sz w:val="22"/>
        </w:rPr>
        <w:t>-</w:t>
      </w:r>
      <w:r w:rsidRPr="001D4868">
        <w:rPr>
          <w:rFonts w:ascii="Arial" w:eastAsia="Verdana" w:hAnsi="Arial" w:cs="Arial"/>
          <w:sz w:val="22"/>
        </w:rPr>
        <w:t xml:space="preserve"> Социјални доприноси на терет послодавца, у износу од 169.789.167,00 динара и економска класификација 463 </w:t>
      </w:r>
      <w:r>
        <w:rPr>
          <w:rFonts w:ascii="Arial" w:eastAsia="Verdana" w:hAnsi="Arial" w:cs="Arial"/>
          <w:sz w:val="22"/>
        </w:rPr>
        <w:t>-</w:t>
      </w:r>
      <w:r w:rsidRPr="001D4868">
        <w:rPr>
          <w:rFonts w:ascii="Arial" w:eastAsia="Verdana" w:hAnsi="Arial" w:cs="Arial"/>
          <w:sz w:val="22"/>
        </w:rPr>
        <w:t xml:space="preserve"> Трансфери осталим нивоима власти, у износу од 209.708.110,00 динара, у укупном износу од 775.672.000,00динара,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Раздела 26 </w:t>
      </w:r>
      <w:r>
        <w:rPr>
          <w:rFonts w:ascii="Arial" w:eastAsia="Verdana" w:hAnsi="Arial" w:cs="Arial"/>
          <w:sz w:val="22"/>
        </w:rPr>
        <w:t>-</w:t>
      </w:r>
      <w:r w:rsidRPr="001D4868">
        <w:rPr>
          <w:rFonts w:ascii="Arial" w:eastAsia="Verdana" w:hAnsi="Arial" w:cs="Arial"/>
          <w:sz w:val="22"/>
        </w:rPr>
        <w:t xml:space="preserve"> Министарство просвете Главе 26.2 Средње образовање, Програм 2004 Средње образовање, Функција 920, Програмска активност 0001 Реализација делатности средњег образовања и образовања одраслих, економска класификација 411 </w:t>
      </w:r>
      <w:r>
        <w:rPr>
          <w:rFonts w:ascii="Arial" w:eastAsia="Verdana" w:hAnsi="Arial" w:cs="Arial"/>
          <w:sz w:val="22"/>
        </w:rPr>
        <w:t>-</w:t>
      </w:r>
      <w:r w:rsidRPr="001D4868">
        <w:rPr>
          <w:rFonts w:ascii="Arial" w:eastAsia="Verdana" w:hAnsi="Arial" w:cs="Arial"/>
          <w:sz w:val="22"/>
        </w:rPr>
        <w:t xml:space="preserve"> Плате, додаци и накнаде запослених (зараде), у износу од 3.696.000,00 динара, и економска класификација 412 </w:t>
      </w:r>
      <w:r>
        <w:rPr>
          <w:rFonts w:ascii="Arial" w:eastAsia="Verdana" w:hAnsi="Arial" w:cs="Arial"/>
          <w:sz w:val="22"/>
        </w:rPr>
        <w:t>-</w:t>
      </w:r>
      <w:r w:rsidRPr="001D4868">
        <w:rPr>
          <w:rFonts w:ascii="Arial" w:eastAsia="Verdana" w:hAnsi="Arial" w:cs="Arial"/>
          <w:sz w:val="22"/>
        </w:rPr>
        <w:t xml:space="preserve"> Социјални доприноси на терет послодавца, у износу од 1.584.000,00 динара, 463 </w:t>
      </w:r>
      <w:r>
        <w:rPr>
          <w:rFonts w:ascii="Arial" w:eastAsia="Verdana" w:hAnsi="Arial" w:cs="Arial"/>
          <w:sz w:val="22"/>
        </w:rPr>
        <w:t>-</w:t>
      </w:r>
      <w:r w:rsidRPr="001D4868">
        <w:rPr>
          <w:rFonts w:ascii="Arial" w:eastAsia="Verdana" w:hAnsi="Arial" w:cs="Arial"/>
          <w:sz w:val="22"/>
        </w:rPr>
        <w:t xml:space="preserve"> Трансфери осталим нивоима власти, у износу од 640.000,00 динара, у укупном износу од 5.920.000,00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Раздела 26 </w:t>
      </w:r>
      <w:r>
        <w:rPr>
          <w:rFonts w:ascii="Arial" w:eastAsia="Verdana" w:hAnsi="Arial" w:cs="Arial"/>
          <w:sz w:val="22"/>
        </w:rPr>
        <w:t>-</w:t>
      </w:r>
      <w:r w:rsidRPr="001D4868">
        <w:rPr>
          <w:rFonts w:ascii="Arial" w:eastAsia="Verdana" w:hAnsi="Arial" w:cs="Arial"/>
          <w:sz w:val="22"/>
        </w:rPr>
        <w:t xml:space="preserve"> Министарство просвете Главе 26.2 Средње образовање, Програм 2004 Средње образовање, Функција 920, Пројекат 4007 </w:t>
      </w:r>
      <w:r>
        <w:rPr>
          <w:rFonts w:ascii="Arial" w:eastAsia="Verdana" w:hAnsi="Arial" w:cs="Arial"/>
          <w:sz w:val="22"/>
        </w:rPr>
        <w:t>-</w:t>
      </w:r>
      <w:r w:rsidRPr="001D4868">
        <w:rPr>
          <w:rFonts w:ascii="Arial" w:eastAsia="Verdana" w:hAnsi="Arial" w:cs="Arial"/>
          <w:sz w:val="22"/>
        </w:rPr>
        <w:t xml:space="preserve"> Подршка унапређењу образовања одраслих, економска класификација 424 </w:t>
      </w:r>
      <w:r>
        <w:rPr>
          <w:rFonts w:ascii="Arial" w:eastAsia="Verdana" w:hAnsi="Arial" w:cs="Arial"/>
          <w:sz w:val="22"/>
        </w:rPr>
        <w:t>-</w:t>
      </w:r>
      <w:r w:rsidRPr="001D4868">
        <w:rPr>
          <w:rFonts w:ascii="Arial" w:eastAsia="Verdana" w:hAnsi="Arial" w:cs="Arial"/>
          <w:sz w:val="22"/>
        </w:rPr>
        <w:t xml:space="preserve"> специјализоване услуге у износу од 5.500.000,00 динара; и економска класификација 426 </w:t>
      </w:r>
      <w:r>
        <w:rPr>
          <w:rFonts w:ascii="Arial" w:eastAsia="Verdana" w:hAnsi="Arial" w:cs="Arial"/>
          <w:sz w:val="22"/>
        </w:rPr>
        <w:t>-</w:t>
      </w:r>
      <w:r w:rsidRPr="001D4868">
        <w:rPr>
          <w:rFonts w:ascii="Arial" w:eastAsia="Verdana" w:hAnsi="Arial" w:cs="Arial"/>
          <w:sz w:val="22"/>
        </w:rPr>
        <w:t xml:space="preserve"> материјал у износу од 5.000.000,00 динара, у укупном износу од 10.500.000,00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Раздела 26 </w:t>
      </w:r>
      <w:r>
        <w:rPr>
          <w:rFonts w:ascii="Arial" w:eastAsia="Verdana" w:hAnsi="Arial" w:cs="Arial"/>
          <w:sz w:val="22"/>
        </w:rPr>
        <w:t>-</w:t>
      </w:r>
      <w:r w:rsidRPr="001D4868">
        <w:rPr>
          <w:rFonts w:ascii="Arial" w:eastAsia="Verdana" w:hAnsi="Arial" w:cs="Arial"/>
          <w:sz w:val="22"/>
        </w:rPr>
        <w:t xml:space="preserve"> Министарство просвете Главе 26.6 Завод за унапређивање образовања и васпитања, Програм 2001 </w:t>
      </w:r>
      <w:r>
        <w:rPr>
          <w:rFonts w:ascii="Arial" w:eastAsia="Verdana" w:hAnsi="Arial" w:cs="Arial"/>
          <w:sz w:val="22"/>
        </w:rPr>
        <w:t>-</w:t>
      </w:r>
      <w:r w:rsidRPr="001D4868">
        <w:rPr>
          <w:rFonts w:ascii="Arial" w:eastAsia="Verdana" w:hAnsi="Arial" w:cs="Arial"/>
          <w:sz w:val="22"/>
        </w:rPr>
        <w:t xml:space="preserve"> Уређење, надзор и развој свих нивоа образовног система, Функција 980, Програмска активност 0006 </w:t>
      </w:r>
      <w:r>
        <w:rPr>
          <w:rFonts w:ascii="Arial" w:eastAsia="Verdana" w:hAnsi="Arial" w:cs="Arial"/>
          <w:sz w:val="22"/>
        </w:rPr>
        <w:t>-</w:t>
      </w:r>
      <w:r w:rsidRPr="001D4868">
        <w:rPr>
          <w:rFonts w:ascii="Arial" w:eastAsia="Verdana" w:hAnsi="Arial" w:cs="Arial"/>
          <w:sz w:val="22"/>
        </w:rPr>
        <w:t xml:space="preserve"> Стручно образовање и образовање одраслих, економска класификација 423 </w:t>
      </w:r>
      <w:r>
        <w:rPr>
          <w:rFonts w:ascii="Arial" w:eastAsia="Verdana" w:hAnsi="Arial" w:cs="Arial"/>
          <w:sz w:val="22"/>
        </w:rPr>
        <w:t>-</w:t>
      </w:r>
      <w:r w:rsidRPr="001D4868">
        <w:rPr>
          <w:rFonts w:ascii="Arial" w:eastAsia="Verdana" w:hAnsi="Arial" w:cs="Arial"/>
          <w:sz w:val="22"/>
        </w:rPr>
        <w:t xml:space="preserve"> Услуге по уговору у износу од 500.000,00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lastRenderedPageBreak/>
        <w:t>Остала планирана средства за реализацију ГПОО за 2025. годину, према достављеним подацима других корисника буџетских средстава, а планираних Законом о буџету Републике Србије за 2025. годину, налазе се на следећим позицијама: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На разделу 23 </w:t>
      </w:r>
      <w:r>
        <w:rPr>
          <w:rFonts w:ascii="Arial" w:eastAsia="Verdana" w:hAnsi="Arial" w:cs="Arial"/>
          <w:sz w:val="22"/>
        </w:rPr>
        <w:t>-</w:t>
      </w:r>
      <w:r w:rsidRPr="001D4868">
        <w:rPr>
          <w:rFonts w:ascii="Arial" w:eastAsia="Verdana" w:hAnsi="Arial" w:cs="Arial"/>
          <w:sz w:val="22"/>
        </w:rPr>
        <w:t xml:space="preserve"> Министарство правде, Глава 23.1 </w:t>
      </w:r>
      <w:r>
        <w:rPr>
          <w:rFonts w:ascii="Arial" w:eastAsia="Verdana" w:hAnsi="Arial" w:cs="Arial"/>
          <w:sz w:val="22"/>
        </w:rPr>
        <w:t>-</w:t>
      </w:r>
      <w:r w:rsidRPr="001D4868">
        <w:rPr>
          <w:rFonts w:ascii="Arial" w:eastAsia="Verdana" w:hAnsi="Arial" w:cs="Arial"/>
          <w:sz w:val="22"/>
        </w:rPr>
        <w:t xml:space="preserve"> Управа за извршење кривичних санкција, Програм 1607 </w:t>
      </w:r>
      <w:r>
        <w:rPr>
          <w:rFonts w:ascii="Arial" w:eastAsia="Verdana" w:hAnsi="Arial" w:cs="Arial"/>
          <w:sz w:val="22"/>
        </w:rPr>
        <w:t>-</w:t>
      </w:r>
      <w:r w:rsidRPr="001D4868">
        <w:rPr>
          <w:rFonts w:ascii="Arial" w:eastAsia="Verdana" w:hAnsi="Arial" w:cs="Arial"/>
          <w:sz w:val="22"/>
        </w:rPr>
        <w:t xml:space="preserve"> Управљање извршењем кривичних санкција, Функција 340 </w:t>
      </w:r>
      <w:r>
        <w:rPr>
          <w:rFonts w:ascii="Arial" w:eastAsia="Verdana" w:hAnsi="Arial" w:cs="Arial"/>
          <w:sz w:val="22"/>
        </w:rPr>
        <w:t>-</w:t>
      </w:r>
      <w:r w:rsidRPr="001D4868">
        <w:rPr>
          <w:rFonts w:ascii="Arial" w:eastAsia="Verdana" w:hAnsi="Arial" w:cs="Arial"/>
          <w:sz w:val="22"/>
        </w:rPr>
        <w:t xml:space="preserve"> Затвори, Програмска активност 0002 </w:t>
      </w:r>
      <w:r>
        <w:rPr>
          <w:rFonts w:ascii="Arial" w:eastAsia="Verdana" w:hAnsi="Arial" w:cs="Arial"/>
          <w:sz w:val="22"/>
        </w:rPr>
        <w:t>-</w:t>
      </w:r>
      <w:r w:rsidRPr="001D4868">
        <w:rPr>
          <w:rFonts w:ascii="Arial" w:eastAsia="Verdana" w:hAnsi="Arial" w:cs="Arial"/>
          <w:sz w:val="22"/>
        </w:rPr>
        <w:t xml:space="preserve"> Подршка лицима лишених слободе, економска класификација 424 </w:t>
      </w:r>
      <w:r>
        <w:rPr>
          <w:rFonts w:ascii="Arial" w:eastAsia="Verdana" w:hAnsi="Arial" w:cs="Arial"/>
          <w:sz w:val="22"/>
        </w:rPr>
        <w:t>-</w:t>
      </w:r>
      <w:r w:rsidRPr="001D4868">
        <w:rPr>
          <w:rFonts w:ascii="Arial" w:eastAsia="Verdana" w:hAnsi="Arial" w:cs="Arial"/>
          <w:sz w:val="22"/>
        </w:rPr>
        <w:t xml:space="preserve"> Специјализоване услуге, у износу од 20.193.310,00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На разделу 63 </w:t>
      </w:r>
      <w:r>
        <w:rPr>
          <w:rFonts w:ascii="Arial" w:eastAsia="Verdana" w:hAnsi="Arial" w:cs="Arial"/>
          <w:sz w:val="22"/>
        </w:rPr>
        <w:t>-</w:t>
      </w:r>
      <w:r w:rsidRPr="001D4868">
        <w:rPr>
          <w:rFonts w:ascii="Arial" w:eastAsia="Verdana" w:hAnsi="Arial" w:cs="Arial"/>
          <w:sz w:val="22"/>
        </w:rPr>
        <w:t xml:space="preserve"> Национална академија за јавну управу, Програм 0615 </w:t>
      </w:r>
      <w:r>
        <w:rPr>
          <w:rFonts w:ascii="Arial" w:eastAsia="Verdana" w:hAnsi="Arial" w:cs="Arial"/>
          <w:sz w:val="22"/>
        </w:rPr>
        <w:t>-</w:t>
      </w:r>
      <w:r w:rsidRPr="001D4868">
        <w:rPr>
          <w:rFonts w:ascii="Arial" w:eastAsia="Verdana" w:hAnsi="Arial" w:cs="Arial"/>
          <w:sz w:val="22"/>
        </w:rPr>
        <w:t xml:space="preserve"> Стручно усавршавање у јавној управи, Функција 110, Програмска активност 0001 </w:t>
      </w:r>
      <w:r>
        <w:rPr>
          <w:rFonts w:ascii="Arial" w:eastAsia="Verdana" w:hAnsi="Arial" w:cs="Arial"/>
          <w:sz w:val="22"/>
        </w:rPr>
        <w:t>-</w:t>
      </w:r>
      <w:r w:rsidRPr="001D4868">
        <w:rPr>
          <w:rFonts w:ascii="Arial" w:eastAsia="Verdana" w:hAnsi="Arial" w:cs="Arial"/>
          <w:sz w:val="22"/>
        </w:rPr>
        <w:t xml:space="preserve"> Програмирање и спровођење програма стручног усавршавања у јавној управи, економска класификација 423 </w:t>
      </w:r>
      <w:r>
        <w:rPr>
          <w:rFonts w:ascii="Arial" w:eastAsia="Verdana" w:hAnsi="Arial" w:cs="Arial"/>
          <w:sz w:val="22"/>
        </w:rPr>
        <w:t>-</w:t>
      </w:r>
      <w:r w:rsidRPr="001D4868">
        <w:rPr>
          <w:rFonts w:ascii="Arial" w:eastAsia="Verdana" w:hAnsi="Arial" w:cs="Arial"/>
          <w:sz w:val="22"/>
        </w:rPr>
        <w:t xml:space="preserve"> Услуге по уговору, у износу од 20.000.000,00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На разделу 30 </w:t>
      </w:r>
      <w:r>
        <w:rPr>
          <w:rFonts w:ascii="Arial" w:eastAsia="Verdana" w:hAnsi="Arial" w:cs="Arial"/>
          <w:sz w:val="22"/>
        </w:rPr>
        <w:t>-</w:t>
      </w:r>
      <w:r w:rsidRPr="001D4868">
        <w:rPr>
          <w:rFonts w:ascii="Arial" w:eastAsia="Verdana" w:hAnsi="Arial" w:cs="Arial"/>
          <w:sz w:val="22"/>
        </w:rPr>
        <w:t xml:space="preserve"> Министарство за рад, запошљавање, борачка и социјална питања, Глава 30.0 </w:t>
      </w:r>
      <w:r>
        <w:rPr>
          <w:rFonts w:ascii="Arial" w:eastAsia="Verdana" w:hAnsi="Arial" w:cs="Arial"/>
          <w:sz w:val="22"/>
        </w:rPr>
        <w:t>-</w:t>
      </w:r>
      <w:r w:rsidRPr="001D4868">
        <w:rPr>
          <w:rFonts w:ascii="Arial" w:eastAsia="Verdana" w:hAnsi="Arial" w:cs="Arial"/>
          <w:sz w:val="22"/>
        </w:rPr>
        <w:t xml:space="preserve"> Министарство за рад, запошљавање, борачка и социјална питања, Програм 0803 </w:t>
      </w:r>
      <w:r>
        <w:rPr>
          <w:rFonts w:ascii="Arial" w:eastAsia="Verdana" w:hAnsi="Arial" w:cs="Arial"/>
          <w:sz w:val="22"/>
        </w:rPr>
        <w:t>-</w:t>
      </w:r>
      <w:r w:rsidRPr="001D4868">
        <w:rPr>
          <w:rFonts w:ascii="Arial" w:eastAsia="Verdana" w:hAnsi="Arial" w:cs="Arial"/>
          <w:sz w:val="22"/>
        </w:rPr>
        <w:t xml:space="preserve"> Активна политика запошљавања, Функција 412, Пројекат 4002 </w:t>
      </w:r>
      <w:r>
        <w:rPr>
          <w:rFonts w:ascii="Arial" w:eastAsia="Verdana" w:hAnsi="Arial" w:cs="Arial"/>
          <w:sz w:val="22"/>
        </w:rPr>
        <w:t>-</w:t>
      </w:r>
      <w:r w:rsidRPr="001D4868">
        <w:rPr>
          <w:rFonts w:ascii="Arial" w:eastAsia="Verdana" w:hAnsi="Arial" w:cs="Arial"/>
          <w:sz w:val="22"/>
        </w:rPr>
        <w:t xml:space="preserve"> Гаранција за младе, економска класификација 464 </w:t>
      </w:r>
      <w:r>
        <w:rPr>
          <w:rFonts w:ascii="Arial" w:eastAsia="Verdana" w:hAnsi="Arial" w:cs="Arial"/>
          <w:sz w:val="22"/>
        </w:rPr>
        <w:t>-</w:t>
      </w:r>
      <w:r w:rsidRPr="001D4868">
        <w:rPr>
          <w:rFonts w:ascii="Arial" w:eastAsia="Verdana" w:hAnsi="Arial" w:cs="Arial"/>
          <w:sz w:val="22"/>
        </w:rPr>
        <w:t xml:space="preserve"> Дотације организацијама за обавезно социјално осигурање, у износу од 200.000.000,00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У оквиру финансијског плана НСЗ за 2025. годину, обезбеђена су средства за реализацију мера активне политике запошљавања у износу 5.500.000.000,00 динара;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На разделу 20 </w:t>
      </w:r>
      <w:r>
        <w:rPr>
          <w:rFonts w:ascii="Arial" w:eastAsia="Verdana" w:hAnsi="Arial" w:cs="Arial"/>
          <w:sz w:val="22"/>
        </w:rPr>
        <w:t>-</w:t>
      </w:r>
      <w:r w:rsidRPr="001D4868">
        <w:rPr>
          <w:rFonts w:ascii="Arial" w:eastAsia="Verdana" w:hAnsi="Arial" w:cs="Arial"/>
          <w:sz w:val="22"/>
        </w:rPr>
        <w:t xml:space="preserve"> Министарство државне управе и локалне самоуправе, Програм 0607 </w:t>
      </w:r>
      <w:r>
        <w:rPr>
          <w:rFonts w:ascii="Arial" w:eastAsia="Verdana" w:hAnsi="Arial" w:cs="Arial"/>
          <w:sz w:val="22"/>
        </w:rPr>
        <w:t>-</w:t>
      </w:r>
      <w:r w:rsidRPr="001D4868">
        <w:rPr>
          <w:rFonts w:ascii="Arial" w:eastAsia="Verdana" w:hAnsi="Arial" w:cs="Arial"/>
          <w:sz w:val="22"/>
        </w:rPr>
        <w:t xml:space="preserve"> Систем јавне управе, Функција 411, Програмска активност 0009 </w:t>
      </w:r>
      <w:r>
        <w:rPr>
          <w:rFonts w:ascii="Arial" w:eastAsia="Verdana" w:hAnsi="Arial" w:cs="Arial"/>
          <w:sz w:val="22"/>
        </w:rPr>
        <w:t>-</w:t>
      </w:r>
      <w:r w:rsidRPr="001D4868">
        <w:rPr>
          <w:rFonts w:ascii="Arial" w:eastAsia="Verdana" w:hAnsi="Arial" w:cs="Arial"/>
          <w:sz w:val="22"/>
        </w:rPr>
        <w:t xml:space="preserve"> Администрација и управљање, економска класификација 423 </w:t>
      </w:r>
      <w:r>
        <w:rPr>
          <w:rFonts w:ascii="Arial" w:eastAsia="Verdana" w:hAnsi="Arial" w:cs="Arial"/>
          <w:sz w:val="22"/>
        </w:rPr>
        <w:t>-</w:t>
      </w:r>
      <w:r w:rsidRPr="001D4868">
        <w:rPr>
          <w:rFonts w:ascii="Arial" w:eastAsia="Verdana" w:hAnsi="Arial" w:cs="Arial"/>
          <w:sz w:val="22"/>
        </w:rPr>
        <w:t xml:space="preserve"> Услуге по уговору, у износу од 1.000.000,00 динара; Функција 111, Програмска активност 0011 </w:t>
      </w:r>
      <w:r>
        <w:rPr>
          <w:rFonts w:ascii="Arial" w:eastAsia="Verdana" w:hAnsi="Arial" w:cs="Arial"/>
          <w:sz w:val="22"/>
        </w:rPr>
        <w:t>-</w:t>
      </w:r>
      <w:r w:rsidRPr="001D4868">
        <w:rPr>
          <w:rFonts w:ascii="Arial" w:eastAsia="Verdana" w:hAnsi="Arial" w:cs="Arial"/>
          <w:sz w:val="22"/>
        </w:rPr>
        <w:t xml:space="preserve"> Стручно усавршавање и стручни испити, економска класификација 423 </w:t>
      </w:r>
      <w:r>
        <w:rPr>
          <w:rFonts w:ascii="Arial" w:eastAsia="Verdana" w:hAnsi="Arial" w:cs="Arial"/>
          <w:sz w:val="22"/>
        </w:rPr>
        <w:t>-</w:t>
      </w:r>
      <w:r w:rsidRPr="001D4868">
        <w:rPr>
          <w:rFonts w:ascii="Arial" w:eastAsia="Verdana" w:hAnsi="Arial" w:cs="Arial"/>
          <w:sz w:val="22"/>
        </w:rPr>
        <w:t xml:space="preserve"> Услуге по уговору, у износу од 3.884.000,00 динара, у укупном износу од 4.884.000,00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На разделу 25 </w:t>
      </w:r>
      <w:r>
        <w:rPr>
          <w:rFonts w:ascii="Arial" w:eastAsia="Verdana" w:hAnsi="Arial" w:cs="Arial"/>
          <w:sz w:val="22"/>
        </w:rPr>
        <w:t>-</w:t>
      </w:r>
      <w:r w:rsidRPr="001D4868">
        <w:rPr>
          <w:rFonts w:ascii="Arial" w:eastAsia="Verdana" w:hAnsi="Arial" w:cs="Arial"/>
          <w:sz w:val="22"/>
        </w:rPr>
        <w:t xml:space="preserve"> Министарство заштите животне средине, Глава 25.0 </w:t>
      </w:r>
      <w:r>
        <w:rPr>
          <w:rFonts w:ascii="Arial" w:eastAsia="Verdana" w:hAnsi="Arial" w:cs="Arial"/>
          <w:sz w:val="22"/>
        </w:rPr>
        <w:t>-</w:t>
      </w:r>
      <w:r w:rsidRPr="001D4868">
        <w:rPr>
          <w:rFonts w:ascii="Arial" w:eastAsia="Verdana" w:hAnsi="Arial" w:cs="Arial"/>
          <w:sz w:val="22"/>
        </w:rPr>
        <w:t xml:space="preserve"> Програм 0406 </w:t>
      </w:r>
      <w:r>
        <w:rPr>
          <w:rFonts w:ascii="Arial" w:eastAsia="Verdana" w:hAnsi="Arial" w:cs="Arial"/>
          <w:sz w:val="22"/>
        </w:rPr>
        <w:t>-</w:t>
      </w:r>
      <w:r w:rsidRPr="001D4868">
        <w:rPr>
          <w:rFonts w:ascii="Arial" w:eastAsia="Verdana" w:hAnsi="Arial" w:cs="Arial"/>
          <w:sz w:val="22"/>
        </w:rPr>
        <w:t xml:space="preserve"> Интегрисано управљање отпадом, отпадним водама, хемикалијама и биоцидним производима, Функција 560, Пројекат 4019 </w:t>
      </w:r>
      <w:r>
        <w:rPr>
          <w:rFonts w:ascii="Arial" w:eastAsia="Verdana" w:hAnsi="Arial" w:cs="Arial"/>
          <w:sz w:val="22"/>
        </w:rPr>
        <w:t>-</w:t>
      </w:r>
      <w:r w:rsidRPr="001D4868">
        <w:rPr>
          <w:rFonts w:ascii="Arial" w:eastAsia="Verdana" w:hAnsi="Arial" w:cs="Arial"/>
          <w:sz w:val="22"/>
        </w:rPr>
        <w:t xml:space="preserve"> Даље јачање капацитета за процену ризика опасних супстанци кроз њихов цео циклус кружења у животној средини, у износу од 2.467.000,00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Pr="001D4868" w:rsidRDefault="001D4868" w:rsidP="001D4868">
      <w:pPr>
        <w:spacing w:before="120" w:after="120" w:line="210" w:lineRule="atLeast"/>
        <w:contextualSpacing w:val="0"/>
        <w:rPr>
          <w:rFonts w:ascii="Arial" w:hAnsi="Arial" w:cs="Arial"/>
        </w:rPr>
      </w:pPr>
      <w:r w:rsidRPr="001D4868">
        <w:rPr>
          <w:rFonts w:ascii="Arial" w:eastAsia="Verdana" w:hAnsi="Arial" w:cs="Arial"/>
          <w:sz w:val="22"/>
        </w:rPr>
        <w:t xml:space="preserve">‒ На разделу 37 </w:t>
      </w:r>
      <w:r>
        <w:rPr>
          <w:rFonts w:ascii="Arial" w:eastAsia="Verdana" w:hAnsi="Arial" w:cs="Arial"/>
          <w:sz w:val="22"/>
        </w:rPr>
        <w:t>-</w:t>
      </w:r>
      <w:r w:rsidRPr="001D4868">
        <w:rPr>
          <w:rFonts w:ascii="Arial" w:eastAsia="Verdana" w:hAnsi="Arial" w:cs="Arial"/>
          <w:sz w:val="22"/>
        </w:rPr>
        <w:t xml:space="preserve"> Министарство туризма и омладине, Програм 1302 </w:t>
      </w:r>
      <w:r>
        <w:rPr>
          <w:rFonts w:ascii="Arial" w:eastAsia="Verdana" w:hAnsi="Arial" w:cs="Arial"/>
          <w:sz w:val="22"/>
        </w:rPr>
        <w:t>-</w:t>
      </w:r>
      <w:r w:rsidRPr="001D4868">
        <w:rPr>
          <w:rFonts w:ascii="Arial" w:eastAsia="Verdana" w:hAnsi="Arial" w:cs="Arial"/>
          <w:sz w:val="22"/>
        </w:rPr>
        <w:t xml:space="preserve"> Омладинска политика, Функција 110 </w:t>
      </w:r>
      <w:r>
        <w:rPr>
          <w:rFonts w:ascii="Arial" w:eastAsia="Verdana" w:hAnsi="Arial" w:cs="Arial"/>
          <w:sz w:val="22"/>
        </w:rPr>
        <w:t>-</w:t>
      </w:r>
      <w:r w:rsidRPr="001D4868">
        <w:rPr>
          <w:rFonts w:ascii="Arial" w:eastAsia="Verdana" w:hAnsi="Arial" w:cs="Arial"/>
          <w:sz w:val="22"/>
        </w:rPr>
        <w:t xml:space="preserve"> Извршни и законодавни органи, финансијски и фискални послови и спољни послови, Програмска активност 0002 </w:t>
      </w:r>
      <w:r>
        <w:rPr>
          <w:rFonts w:ascii="Arial" w:eastAsia="Verdana" w:hAnsi="Arial" w:cs="Arial"/>
          <w:sz w:val="22"/>
        </w:rPr>
        <w:t>-</w:t>
      </w:r>
      <w:r w:rsidRPr="001D4868">
        <w:rPr>
          <w:rFonts w:ascii="Arial" w:eastAsia="Verdana" w:hAnsi="Arial" w:cs="Arial"/>
          <w:sz w:val="22"/>
        </w:rPr>
        <w:t xml:space="preserve"> Подршка ЈЛС у спровођењу омладинске политике у износу од 50.000.000,00 динара, Програмска активност 0004 </w:t>
      </w:r>
      <w:r>
        <w:rPr>
          <w:rFonts w:ascii="Arial" w:eastAsia="Verdana" w:hAnsi="Arial" w:cs="Arial"/>
          <w:sz w:val="22"/>
        </w:rPr>
        <w:t>-</w:t>
      </w:r>
      <w:r w:rsidRPr="001D4868">
        <w:rPr>
          <w:rFonts w:ascii="Arial" w:eastAsia="Verdana" w:hAnsi="Arial" w:cs="Arial"/>
          <w:sz w:val="22"/>
        </w:rPr>
        <w:t xml:space="preserve"> Развој и спровођење омладинске политике у износу од 28.500.000,00 динара, Програмска активност 0005 </w:t>
      </w:r>
      <w:r>
        <w:rPr>
          <w:rFonts w:ascii="Arial" w:eastAsia="Verdana" w:hAnsi="Arial" w:cs="Arial"/>
          <w:sz w:val="22"/>
        </w:rPr>
        <w:t>-</w:t>
      </w:r>
      <w:r w:rsidRPr="001D4868">
        <w:rPr>
          <w:rFonts w:ascii="Arial" w:eastAsia="Verdana" w:hAnsi="Arial" w:cs="Arial"/>
          <w:sz w:val="22"/>
        </w:rPr>
        <w:t xml:space="preserve"> Програми и пројекти подршке младима у образовању, васпитању, безбедности, здрављу и партиципацији у износу од 123.000.000,00 динара, Програмска активност 0006 </w:t>
      </w:r>
      <w:r>
        <w:rPr>
          <w:rFonts w:ascii="Arial" w:eastAsia="Verdana" w:hAnsi="Arial" w:cs="Arial"/>
          <w:sz w:val="22"/>
        </w:rPr>
        <w:t>-</w:t>
      </w:r>
      <w:r w:rsidRPr="001D4868">
        <w:rPr>
          <w:rFonts w:ascii="Arial" w:eastAsia="Verdana" w:hAnsi="Arial" w:cs="Arial"/>
          <w:sz w:val="22"/>
        </w:rPr>
        <w:t xml:space="preserve"> Програми и пројекти подршке младима у запошљавању економска класификација 463 у износу од 22.000.000 </w:t>
      </w:r>
      <w:r>
        <w:rPr>
          <w:rFonts w:ascii="Arial" w:eastAsia="Verdana" w:hAnsi="Arial" w:cs="Arial"/>
          <w:sz w:val="22"/>
        </w:rPr>
        <w:t>-</w:t>
      </w:r>
      <w:r w:rsidRPr="001D4868">
        <w:rPr>
          <w:rFonts w:ascii="Arial" w:eastAsia="Verdana" w:hAnsi="Arial" w:cs="Arial"/>
          <w:sz w:val="22"/>
        </w:rPr>
        <w:t xml:space="preserve"> и економска класификација 481 у износу од 98.000.000,00 динара, Програмска активност 0008 </w:t>
      </w:r>
      <w:r>
        <w:rPr>
          <w:rFonts w:ascii="Arial" w:eastAsia="Verdana" w:hAnsi="Arial" w:cs="Arial"/>
          <w:sz w:val="22"/>
        </w:rPr>
        <w:t>-</w:t>
      </w:r>
      <w:r w:rsidRPr="001D4868">
        <w:rPr>
          <w:rFonts w:ascii="Arial" w:eastAsia="Verdana" w:hAnsi="Arial" w:cs="Arial"/>
          <w:sz w:val="22"/>
        </w:rPr>
        <w:t xml:space="preserve"> Међународна сарадња у области омладине у износу од 4.000.000,00 динара, са извора 01 </w:t>
      </w:r>
      <w:r>
        <w:rPr>
          <w:rFonts w:ascii="Arial" w:eastAsia="Verdana" w:hAnsi="Arial" w:cs="Arial"/>
          <w:sz w:val="22"/>
        </w:rPr>
        <w:t>-</w:t>
      </w:r>
      <w:r w:rsidRPr="001D4868">
        <w:rPr>
          <w:rFonts w:ascii="Arial" w:eastAsia="Verdana" w:hAnsi="Arial" w:cs="Arial"/>
          <w:sz w:val="22"/>
        </w:rPr>
        <w:t xml:space="preserve"> Општи приходи и примања буџета.</w:t>
      </w:r>
    </w:p>
    <w:p w:rsidR="001D4868" w:rsidRDefault="001D4868" w:rsidP="001D4868">
      <w:pPr>
        <w:spacing w:line="210" w:lineRule="atLeast"/>
      </w:pPr>
      <w:r>
        <w:rPr>
          <w:rFonts w:ascii="Verdana" w:eastAsia="Verdana" w:hAnsi="Verdana" w:cs="Verdana"/>
        </w:rPr>
        <w:lastRenderedPageBreak/>
        <w:drawing>
          <wp:inline distT="0" distB="0" distL="0" distR="0" wp14:anchorId="2044BD50" wp14:editId="081F6C80">
            <wp:extent cx="5000000" cy="35602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NK6YXcFViwAAAABJRU5ErkJggg=="/>
                    <pic:cNvPicPr/>
                  </pic:nvPicPr>
                  <pic:blipFill>
                    <a:blip r:embed="rId2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8921416" wp14:editId="57196290">
            <wp:extent cx="5000000" cy="35602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qCwYAAAAAElFTkSuQmCC"/>
                    <pic:cNvPicPr/>
                  </pic:nvPicPr>
                  <pic:blipFill>
                    <a:blip r:embed="rId2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3E70E99" wp14:editId="5227C6B8">
            <wp:extent cx="5000000" cy="35602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HP4wOuNgAAAABJRU5ErkJggg=="/>
                    <pic:cNvPicPr/>
                  </pic:nvPicPr>
                  <pic:blipFill>
                    <a:blip r:embed="rId2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5AFF5117" wp14:editId="0FD6CDCE">
            <wp:extent cx="5000000" cy="35602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MatcqkETBGAAAAAElFTkSuQmCC"/>
                    <pic:cNvPicPr/>
                  </pic:nvPicPr>
                  <pic:blipFill>
                    <a:blip r:embed="rId2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EA20146" wp14:editId="68179F10">
            <wp:extent cx="5000000" cy="35602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P6gmcYajWgQAAAABJRU5ErkJggg=="/>
                    <pic:cNvPicPr/>
                  </pic:nvPicPr>
                  <pic:blipFill>
                    <a:blip r:embed="rId2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6D3E1156" wp14:editId="012BF8FF">
            <wp:extent cx="5000000" cy="35602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EmOkprqlnSAAAAAElFTkSuQmCC"/>
                    <pic:cNvPicPr/>
                  </pic:nvPicPr>
                  <pic:blipFill>
                    <a:blip r:embed="rId2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EFBFFB8" wp14:editId="748DE858">
            <wp:extent cx="5000000" cy="35602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AAAAwKKsVv8fgpbsecuXH9YAAAAASUVORK5CYII="/>
                    <pic:cNvPicPr/>
                  </pic:nvPicPr>
                  <pic:blipFill>
                    <a:blip r:embed="rId2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3176DA6" wp14:editId="34D623F1">
            <wp:extent cx="5000000" cy="35602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CQsh1AQnbIatIp8gAAAABJRU5ErkJggg=="/>
                    <pic:cNvPicPr/>
                  </pic:nvPicPr>
                  <pic:blipFill>
                    <a:blip r:embed="rId2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62D9598" wp14:editId="6DD0A5CF">
            <wp:extent cx="5000000" cy="70219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6SIxMwqzPQAAAABJRU5ErkJggg=="/>
                    <pic:cNvPicPr/>
                  </pic:nvPicPr>
                  <pic:blipFill>
                    <a:blip r:embed="rId29"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875DBE0" wp14:editId="5C810CF2">
            <wp:extent cx="5000000" cy="702195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5Af+SgENuIAAAAABJRU5ErkJggg=="/>
                    <pic:cNvPicPr/>
                  </pic:nvPicPr>
                  <pic:blipFill>
                    <a:blip r:embed="rId30"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DDA8165" wp14:editId="22A2E599">
            <wp:extent cx="5000000" cy="702195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dOxAAAAAAEORvPciFESxJEQAAAGBJigAAAABLUgQAAABYkiIAAADAkhQBAAAAlqQIAAAAsCRFAAAAgCUpAgAAACxJEQAAAGBJigAAAABLUgQAAABYkiIAAADAkhQBAAAAlqQIAAAAsCRFAAAAgCUpAgAAACxJEQAAAGBJigAAAABLUgQAAABYkiIAAADAkhQBAAAAlgK2AYjdfHZ8JQAAAABJRU5ErkJggg=="/>
                    <pic:cNvPicPr/>
                  </pic:nvPicPr>
                  <pic:blipFill>
                    <a:blip r:embed="rId31"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E4ED341" wp14:editId="110B590E">
            <wp:extent cx="5000000" cy="702195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AprFtTROgAAAABJRU5ErkJggg=="/>
                    <pic:cNvPicPr/>
                  </pic:nvPicPr>
                  <pic:blipFill>
                    <a:blip r:embed="rId32"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B642BE6" wp14:editId="4CF51123">
            <wp:extent cx="5000000" cy="702195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KUINIYQQQgghhBBCSO9yj3v5Hndz3+MbRQghhBBCCCGEEPJM6HGNIrZJzwkhhBBCCCGEEEL6CGoUIYQQQgghhBBCSJ9EjSKEEEIIIYQQQgjpk6hRhBBCCCGEEEIIIX0SNYoQQgghhBBCCCGkT6JGEUIIIYQQQgghhPRJ1ChCCCGEEEIIIYSQPokaRQghhBBCCCGEENInUaMIIYQQQgghhBBC+iRqFCGEEEIIIYQQQkif9P8AzblzcHkSs+8AAAAASUVORK5CYII="/>
                    <pic:cNvPicPr/>
                  </pic:nvPicPr>
                  <pic:blipFill>
                    <a:blip r:embed="rId33"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09F4BD8" wp14:editId="2A2D9F65">
            <wp:extent cx="5000000" cy="702195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wRGfCdQjwAAAAASUVORK5CYII="/>
                    <pic:cNvPicPr/>
                  </pic:nvPicPr>
                  <pic:blipFill>
                    <a:blip r:embed="rId34"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348BE55" wp14:editId="08BA9827">
            <wp:extent cx="5000000" cy="702195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oIgQQgghhBBCCCHuC3ddUOTeaMckhBBCCCGEEEIIcYtJUEQIIYQQQgghhBA1kgRFhBBCCCGEEEIIUSNJUEQIIYQQQgghhBA1kgRFhBBCCCGEEEIIUSNJUEQIIYQQQgghhBA1kgRFhBBCCCGEEEIIUSNJUEQIIYQQQgghhBA1kgRFhBBCCCGEEEIIUSNJUEQIIYQQQgghhBA1kgRFhBBCCCGEEEIIUSNJUEQIIYQQQgghhBA1kgRFhBBCCCGEEEIIUSNJUEQIIYQQQgghhBA1kgRFhBBCCCGEEEIIUSNJUEQIIYQQQgghhBA1kgRFhBBCCCGEEEIIUSNJUEQIIYQQQgghhBA1kgRFhBBCCCGEEEIIUSNJUEQIIYQQQgghhBA1kgRFhBBCCCGEEEIIUSP9H+3CXdni0mqCAAAAAElFTkSuQmCC"/>
                    <pic:cNvPicPr/>
                  </pic:nvPicPr>
                  <pic:blipFill>
                    <a:blip r:embed="rId35"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96BB867" wp14:editId="348E3603">
            <wp:extent cx="5000000" cy="702195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yDlNWdNzSqJcpq0SKe3Er7ZT6lSJKxVRRUVFRUVFRUVFRUVFRUSkb3OVdvtS93Jf6SREVFRUVFRUVFRUVFRUVFZUnglI3KaJuiFRRUVFRUVFRUVFRUVFRUXkqUSdFVFRUVFRUVFRUVFRUVFRUnkr+H8aKqE+YnBwsAAAAAElFTkSuQmCC"/>
                    <pic:cNvPicPr/>
                  </pic:nvPicPr>
                  <pic:blipFill>
                    <a:blip r:embed="rId36"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EBAEED3" wp14:editId="7468F768">
            <wp:extent cx="5000000" cy="702195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AEAAAAAAApAUQQAAAAAACwliiIAAAAAAGApURQBAAAAAABLiaIIAAAAAABYShRFAAAAAADAUqIoAgAAAAAAltJffc89J+k6oigAAAAASUVORK5CYII="/>
                    <pic:cNvPicPr/>
                  </pic:nvPicPr>
                  <pic:blipFill>
                    <a:blip r:embed="rId37"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9E83A0D" wp14:editId="5D080CDE">
            <wp:extent cx="5000000" cy="702195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AAAAAElFTkSuQmCC"/>
                    <pic:cNvPicPr/>
                  </pic:nvPicPr>
                  <pic:blipFill>
                    <a:blip r:embed="rId38"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8E27C23" wp14:editId="43C11C3D">
            <wp:extent cx="5000000" cy="702195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Cf0lIAAAAASUVORK5CYII="/>
                    <pic:cNvPicPr/>
                  </pic:nvPicPr>
                  <pic:blipFill>
                    <a:blip r:embed="rId39"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2651B9C" wp14:editId="5BE12C80">
            <wp:extent cx="5000000" cy="702195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N10EZwTihhgAAAABJRU5ErkJggg=="/>
                    <pic:cNvPicPr/>
                  </pic:nvPicPr>
                  <pic:blipFill>
                    <a:blip r:embed="rId40"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8751BDD" wp14:editId="6FBAE6AB">
            <wp:extent cx="5000000" cy="702195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gAAAABJRU5ErkJggg=="/>
                    <pic:cNvPicPr/>
                  </pic:nvPicPr>
                  <pic:blipFill>
                    <a:blip r:embed="rId41"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03011D9" wp14:editId="7F29A90A">
            <wp:extent cx="5000000" cy="702195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UAAAAAElFTkSuQmCC"/>
                    <pic:cNvPicPr/>
                  </pic:nvPicPr>
                  <pic:blipFill>
                    <a:blip r:embed="rId42"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C46E488" wp14:editId="46BA3802">
            <wp:extent cx="5000000" cy="702195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LRG5+nDrgAAAABJRU5ErkJggg=="/>
                    <pic:cNvPicPr/>
                  </pic:nvPicPr>
                  <pic:blipFill>
                    <a:blip r:embed="rId43"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1036F47" wp14:editId="2BD0ECBB">
            <wp:extent cx="5000000" cy="702195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y0bmPCLfiS8AAAAAElFTkSuQmCC"/>
                    <pic:cNvPicPr/>
                  </pic:nvPicPr>
                  <pic:blipFill>
                    <a:blip r:embed="rId44"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916982E" wp14:editId="42D8D2CF">
            <wp:extent cx="5000000" cy="702195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SO+EKOffBFAAAAAElFTkSuQmCC"/>
                    <pic:cNvPicPr/>
                  </pic:nvPicPr>
                  <pic:blipFill>
                    <a:blip r:embed="rId45"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31C2E96" wp14:editId="3B33ECBC">
            <wp:extent cx="5000000" cy="702195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ubVHsCRPAAAAABJRU5ErkJggg=="/>
                    <pic:cNvPicPr/>
                  </pic:nvPicPr>
                  <pic:blipFill>
                    <a:blip r:embed="rId46"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20DC3A2" wp14:editId="751707CC">
            <wp:extent cx="5000000" cy="702195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FUEQoNFooNPpMDk5CUEQuN0QrUEQBOh0OqhUKrfHZ6VyPd+x2WyK3NeVnKd4hUhRUZHUsc2FMhJdISiKIouLi07VePGExvXxes8zduvHuhMMsXKsO2ODM9adzYqVY30YG9hYdzYrVo71YaxyYt3ZrFg51oexgY11Z7Ni5Vgfxion1p3NipVjfUI5Vq1WIyIiAm6wKOIlRSZFRERERERERH5TXFEkOK5jIiIiIiIiIiKSGYsiRERERERERBSSWBQhIiIiIiIiopDEoggRERERERERhSQWRYiIiIiIiIgoJLEoQkREREREREQhiUURIiIiIiIiIgpJLIoQERERERERUUhiUYSIiIiIiIiIQhKLIkREREREREQUklgUISIiIiIiIqKQxKIIEREREREREYUkFkWIiIiIiIiIKCSxKEJEREREREREIYlFESIiIiIiIiIKSf8Djx0zLSalghgAAAAASUVORK5CYII="/>
                    <pic:cNvPicPr/>
                  </pic:nvPicPr>
                  <pic:blipFill>
                    <a:blip r:embed="rId47"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F93172C" wp14:editId="18ECA26B">
            <wp:extent cx="5000000" cy="702195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BXix0br4MDAAAAAElFTkSuQmCC"/>
                    <pic:cNvPicPr/>
                  </pic:nvPicPr>
                  <pic:blipFill>
                    <a:blip r:embed="rId48"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91F9586" wp14:editId="5BB8076D">
            <wp:extent cx="5000000" cy="702195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a6Y8rOtOAZsAAAAASUVORK5CYII="/>
                    <pic:cNvPicPr/>
                  </pic:nvPicPr>
                  <pic:blipFill>
                    <a:blip r:embed="rId49"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E01C0F5" wp14:editId="6454411B">
            <wp:extent cx="5000000" cy="702195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pBLNtFJDLZgAAAABJRU5ErkJggg=="/>
                    <pic:cNvPicPr/>
                  </pic:nvPicPr>
                  <pic:blipFill>
                    <a:blip r:embed="rId50"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F529B4D" wp14:editId="6F1CA16D">
            <wp:extent cx="5000000" cy="702195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cSl7Q1Sjh2wAAAABJRU5ErkJggg=="/>
                    <pic:cNvPicPr/>
                  </pic:nvPicPr>
                  <pic:blipFill>
                    <a:blip r:embed="rId51"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869C53D" wp14:editId="4CC08BB4">
            <wp:extent cx="5000000" cy="702195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1Ca2y3UHe7AAAAAElFTkSuQmCC"/>
                    <pic:cNvPicPr/>
                  </pic:nvPicPr>
                  <pic:blipFill>
                    <a:blip r:embed="rId52"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1BC4A5E" wp14:editId="7F7DA0AE">
            <wp:extent cx="5000000" cy="702195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"/>
                    <pic:cNvPicPr/>
                  </pic:nvPicPr>
                  <pic:blipFill>
                    <a:blip r:embed="rId53"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18A3DAE" wp14:editId="7F6D0975">
            <wp:extent cx="5000000" cy="702195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Mtiae6Z3hPVwAAAABJRU5ErkJggg=="/>
                    <pic:cNvPicPr/>
                  </pic:nvPicPr>
                  <pic:blipFill>
                    <a:blip r:embed="rId54"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510D820" wp14:editId="423FF899">
            <wp:extent cx="5000000" cy="702195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z2eyyCLun+d39sp8l9bd27NiB69evf6+IZ1R0Dq8IRYiIiIiIiIjI63lcKMJHKkRERERERETkkxiKEBEREREREZFPYihCRERERERERD6JoQgRERERERER+SSGIkRERERERETkkxiKEBEREREREZFPYihCRERERERERD6JoQgRERERERER+SSGIkRERERERETkkxiKEBEREREREZFPYihCRERERERERD7pL+xI4xOlCjlJAAAAAElFTkSuQmCC"/>
                    <pic:cNvPicPr/>
                  </pic:nvPicPr>
                  <pic:blipFill>
                    <a:blip r:embed="rId55"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B30EF88" wp14:editId="0F62081B">
            <wp:extent cx="5000000" cy="702195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Gsza09FfLggAAAABJRU5ErkJggg=="/>
                    <pic:cNvPicPr/>
                  </pic:nvPicPr>
                  <pic:blipFill>
                    <a:blip r:embed="rId56"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EDDA32A" wp14:editId="57C9544E">
            <wp:extent cx="5000000" cy="702195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Gl2oBnOAAAAAElFTkSuQmCC"/>
                    <pic:cNvPicPr/>
                  </pic:nvPicPr>
                  <pic:blipFill>
                    <a:blip r:embed="rId57"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1B40A34" wp14:editId="52F84CDF">
            <wp:extent cx="5000000" cy="702195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"/>
                    <pic:cNvPicPr/>
                  </pic:nvPicPr>
                  <pic:blipFill>
                    <a:blip r:embed="rId58"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AA9FB01" wp14:editId="060F0FBC">
            <wp:extent cx="5000000" cy="702195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9jA8B+yqOvRwAAAABJRU5ErkJggg=="/>
                    <pic:cNvPicPr/>
                  </pic:nvPicPr>
                  <pic:blipFill>
                    <a:blip r:embed="rId59"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ADB65E2" wp14:editId="1DE046A0">
            <wp:extent cx="5000000" cy="702195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AAOoNelLLpwAAAABJRU5ErkJggg=="/>
                    <pic:cNvPicPr/>
                  </pic:nvPicPr>
                  <pic:blipFill>
                    <a:blip r:embed="rId60"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0023274" wp14:editId="2F566D2D">
            <wp:extent cx="5000000" cy="702195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UUSgUCoVCoVAoFAqFQvGvRClFFAqFQqFQKBQKhUKhUPwr+T+It0+vnSUjmAAAAABJRU5ErkJggg=="/>
                    <pic:cNvPicPr/>
                  </pic:nvPicPr>
                  <pic:blipFill>
                    <a:blip r:embed="rId61"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1A71371" wp14:editId="21A1A374">
            <wp:extent cx="5000000" cy="702195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9Ihfh30xFFQAAAABJRU5ErkJggg=="/>
                    <pic:cNvPicPr/>
                  </pic:nvPicPr>
                  <pic:blipFill>
                    <a:blip r:embed="rId62"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10864F8" wp14:editId="4A16510A">
            <wp:extent cx="5000000" cy="702195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qg3Lst9peiwAAAABJRU5ErkJggg=="/>
                    <pic:cNvPicPr/>
                  </pic:nvPicPr>
                  <pic:blipFill>
                    <a:blip r:embed="rId63"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52FC965" wp14:editId="254DFC96">
            <wp:extent cx="5000000" cy="702195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Dvfn3uGDIkRERERERES0LDhcUITvohARERERERGRS2JQhIiIiIiIiIhcEoMiREREREREROSSGBQhIiIiIiIiIpfEoAgRERERERERuSQGRYiIiIiIiIjIJTEoQkREREREREQuiUERIiIiIiIiInJJDIoQERERERERkUtiUISIiIiIiIiIXBKDIkRERERERETkkv4HE9JpEBKunQ8AAAAASUVORK5CYII="/>
                    <pic:cNvPicPr/>
                  </pic:nvPicPr>
                  <pic:blipFill>
                    <a:blip r:embed="rId64"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BDFD89D" wp14:editId="1585DBE0">
            <wp:extent cx="5000000" cy="702195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MTRw7ZFirAAAAAElFTkSuQmCC"/>
                    <pic:cNvPicPr/>
                  </pic:nvPicPr>
                  <pic:blipFill>
                    <a:blip r:embed="rId65"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B50D5E0" wp14:editId="7729C05F">
            <wp:extent cx="5000000" cy="702195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PyasaRBRFURRFURRFURRF+Ss88o0iiqIoiqIoiqIoiqIofwXVKKIoiqIoiqIoiqIoSoWkGkUURVEURVEURVEURamQVKOIoiiKoiiKoiiKoigVkmoUURRFURRFURRFURSlQlKNIoqiKIqiKIqiKIqiVEiqUURRFEVRFEVRFEVRlApJNYooiqIoiqIoiqIoilIhqUYRRVEURVEURVEURVEqJNUooiiKoiiKoiiKoihKhaQaRRRFURRFURRFURRFqZBUo4iiKIqiKIqiKIqiKBWSahRRFEVRFEVRFEVRFKVCUo0iiqIoiqIoiqIoiqJUSKpRRFEURVEURVEURVGUCkk1iiiKoiiKoiiKoiiKUiGpRhFFURRFURRFURRFUSok1SiiKIqiKIqiKIqiKEqF9H88cpumHWCzCwAAAABJRU5ErkJggg=="/>
                    <pic:cNvPicPr/>
                  </pic:nvPicPr>
                  <pic:blipFill>
                    <a:blip r:embed="rId66"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7C60017" wp14:editId="21FE2456">
            <wp:extent cx="5000000" cy="702195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gkSZIkSZIkSZIkSZIeM9koIkmSJEmSJEmSJEnSM0k2ikiSJEmSJEmSJEmS9EySjSKSJEmSJEmSJEmSJD2TZKOIJEmSJEmSJEmSJEnPJNkoIkmSJEmSJEmSJEnSM0k2ikiSJEmSJEmSJEmS9EySjSKSJEmSJEmSJEmSJD2TZKOIJEmSJEmSJEmSJEnPJNkoIkmSJEmSJEmSJEnSM0k2ikiSJEmSJEmSJEmS9EySjSKSJEmSJEmSJEmSJD2TZKOIJEmSJEmSJEmSJEnPJNkoIkmSJEmSJEmSJEnSM0k2ikiSJEmSJEmSJEmS9EySjSKSJEmSJEmSJEmSJD2TZKOIJEmSJEmSJEmSJEnPJNkoIkmSJEmSJEmSJEnSM0k2ikiSJEmSJEmSJEmS9EySjSKSJEmSJEmSJEmSJD2TZKOIJEmSJEmSJEmSJEnPpP8HiPDnpfCZKIYAAAAASUVORK5CYII="/>
                    <pic:cNvPicPr/>
                  </pic:nvPicPr>
                  <pic:blipFill>
                    <a:blip r:embed="rId67"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DC4B0A4" wp14:editId="6DB93C4C">
            <wp:extent cx="5000000" cy="702195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AAABJRU5ErkJggg=="/>
                    <pic:cNvPicPr/>
                  </pic:nvPicPr>
                  <pic:blipFill>
                    <a:blip r:embed="rId68"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64B1CB4" wp14:editId="3A991137">
            <wp:extent cx="5000000" cy="702195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92dubprgBIYwAAAABJRU5ErkJggg=="/>
                    <pic:cNvPicPr/>
                  </pic:nvPicPr>
                  <pic:blipFill>
                    <a:blip r:embed="rId69"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D362D25" wp14:editId="426EA6D4">
            <wp:extent cx="5000000" cy="702195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RY3dwsM5sfAAAAAElFTkSuQmCC"/>
                    <pic:cNvPicPr/>
                  </pic:nvPicPr>
                  <pic:blipFill>
                    <a:blip r:embed="rId70"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A02EA4F" wp14:editId="4CE3A3A1">
            <wp:extent cx="5000000" cy="702195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9PLxsEXIUr5gAAAABJRU5ErkJggg=="/>
                    <pic:cNvPicPr/>
                  </pic:nvPicPr>
                  <pic:blipFill>
                    <a:blip r:embed="rId71"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409238A" wp14:editId="7DA54CFB">
            <wp:extent cx="5000000" cy="702195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fo3zDfxXh0AAAAAElFTkSuQmCC"/>
                    <pic:cNvPicPr/>
                  </pic:nvPicPr>
                  <pic:blipFill>
                    <a:blip r:embed="rId72"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9872FF2" wp14:editId="62472D01">
            <wp:extent cx="5000000" cy="702195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c5J7FD3AAAAAElFTkSuQmCC"/>
                    <pic:cNvPicPr/>
                  </pic:nvPicPr>
                  <pic:blipFill>
                    <a:blip r:embed="rId73"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F967440" wp14:editId="29F6A2E1">
            <wp:extent cx="5000000" cy="7021957"/>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0HuTBi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U3NCvAJWCmbYAAAAASUVORK5CYII="/>
                    <pic:cNvPicPr/>
                  </pic:nvPicPr>
                  <pic:blipFill>
                    <a:blip r:embed="rId74"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5D34D3A" wp14:editId="4646B2D0">
            <wp:extent cx="5000000" cy="35602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iIiIiIiIiIiEiXofJfRERERERERERERKTLUPkvIiIiIiIiIiIiItJlqPwXEREREREREREREekyVP6LiIiIiIiIiIiIiHQZKv9FRERERERERERERLoMlf8iIiIiIiIiIiIiIl2Gyn8RERERERERERERkS5D5b+IiIiIiIiIiIiISJeh8l9EREREREREREREpKuoqv8PbJD+nXuYoGwAAAAASUVORK5CYII="/>
                    <pic:cNvPicPr/>
                  </pic:nvPicPr>
                  <pic:blipFill>
                    <a:blip r:embed="rId7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146C26F" wp14:editId="329DF33E">
            <wp:extent cx="5000000" cy="356026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9mDx+qoXIgAAAAASUVORK5CYII="/>
                    <pic:cNvPicPr/>
                  </pic:nvPicPr>
                  <pic:blipFill>
                    <a:blip r:embed="rId7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0895FF9" wp14:editId="6133B41D">
            <wp:extent cx="5000000" cy="356026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JsZ9OjDwkAAAAASUVORK5CYII="/>
                    <pic:cNvPicPr/>
                  </pic:nvPicPr>
                  <pic:blipFill>
                    <a:blip r:embed="rId7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1791A2AA" wp14:editId="491A1D56">
            <wp:extent cx="5000000" cy="356026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B0StP8f+XUOTyc7xViAAAAAElFTkSuQmCC"/>
                    <pic:cNvPicPr/>
                  </pic:nvPicPr>
                  <pic:blipFill>
                    <a:blip r:embed="rId7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9E45452" wp14:editId="17838CBB">
            <wp:extent cx="5000000" cy="356026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AAAAAUJWm+X+VILuX3p4L6AAAAABJRU5ErkJggg=="/>
                    <pic:cNvPicPr/>
                  </pic:nvPicPr>
                  <pic:blipFill>
                    <a:blip r:embed="rId7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CBAAB97" wp14:editId="1055888A">
            <wp:extent cx="5000000" cy="35602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FXhkdRiS+gAAAABJRU5ErkJggg=="/>
                    <pic:cNvPicPr/>
                  </pic:nvPicPr>
                  <pic:blipFill>
                    <a:blip r:embed="rId8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C63D0F4" wp14:editId="5C53EAAB">
            <wp:extent cx="5000000" cy="356026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kN73eLMxHQAAAABJRU5ErkJggg=="/>
                    <pic:cNvPicPr/>
                  </pic:nvPicPr>
                  <pic:blipFill>
                    <a:blip r:embed="rId8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1A5E8DA5" wp14:editId="386CBF85">
            <wp:extent cx="5000000" cy="35602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84eDCODTC8iAAAAABJRU5ErkJggg=="/>
                    <pic:cNvPicPr/>
                  </pic:nvPicPr>
                  <pic:blipFill>
                    <a:blip r:embed="rId8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EFC1D38" wp14:editId="68F9C741">
            <wp:extent cx="5000000" cy="356026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x3cv9DvpoAAAAASUVORK5CYII="/>
                    <pic:cNvPicPr/>
                  </pic:nvPicPr>
                  <pic:blipFill>
                    <a:blip r:embed="rId8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515E079E" wp14:editId="1F570DAB">
            <wp:extent cx="5000000" cy="35602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iIiIiIiIiIiEiPofFfRERERERERERERKTH0PgvIiIiIiIiIiIiItJjaPwXEREREREREREREekp+vr+P4gDnHn0NVznAAAAAElFTkSuQmCC"/>
                    <pic:cNvPicPr/>
                  </pic:nvPicPr>
                  <pic:blipFill>
                    <a:blip r:embed="rId8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9B427B8" wp14:editId="3F64AC70">
            <wp:extent cx="5000000" cy="35602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0dEAAAAASUVORK5CYII="/>
                    <pic:cNvPicPr/>
                  </pic:nvPicPr>
                  <pic:blipFill>
                    <a:blip r:embed="rId8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1438226D" wp14:editId="488D6BFD">
            <wp:extent cx="5000000" cy="356026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BssQ0EhagAAAABJRU5ErkJggg=="/>
                    <pic:cNvPicPr/>
                  </pic:nvPicPr>
                  <pic:blipFill>
                    <a:blip r:embed="rId8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474B22E" wp14:editId="3BE496C8">
            <wp:extent cx="5000000" cy="35602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djAAAAAElFTkSuQmCC"/>
                    <pic:cNvPicPr/>
                  </pic:nvPicPr>
                  <pic:blipFill>
                    <a:blip r:embed="rId8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4B794B1A" wp14:editId="0742F320">
            <wp:extent cx="5000000" cy="356026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DWw7B7xBC5AAAAAElFTkSuQmCC"/>
                    <pic:cNvPicPr/>
                  </pic:nvPicPr>
                  <pic:blipFill>
                    <a:blip r:embed="rId8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E75BB76" wp14:editId="75A5777A">
            <wp:extent cx="5000000" cy="356026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zw7dVpRD4bcAAAAAElFTkSuQmCC"/>
                    <pic:cNvPicPr/>
                  </pic:nvPicPr>
                  <pic:blipFill>
                    <a:blip r:embed="rId8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67E58CD0" wp14:editId="6C57ED63">
            <wp:extent cx="5000000" cy="35602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rqoVZHJOQAAAABJRU5ErkJggg=="/>
                    <pic:cNvPicPr/>
                  </pic:nvPicPr>
                  <pic:blipFill>
                    <a:blip r:embed="rId9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43AE967" wp14:editId="6318C066">
            <wp:extent cx="5000000" cy="356026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9OTBo5PUY66QAAAABJRU5ErkJggg=="/>
                    <pic:cNvPicPr/>
                  </pic:nvPicPr>
                  <pic:blipFill>
                    <a:blip r:embed="rId9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4799FACC" wp14:editId="7937339B">
            <wp:extent cx="5000000" cy="35602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GKAkamhjwAAAABJRU5ErkJggg=="/>
                    <pic:cNvPicPr/>
                  </pic:nvPicPr>
                  <pic:blipFill>
                    <a:blip r:embed="rId9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5C3B6CC" wp14:editId="504882C1">
            <wp:extent cx="5000000" cy="356026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8bdvEv36X4QAAAABJRU5ErkJggg=="/>
                    <pic:cNvPicPr/>
                  </pic:nvPicPr>
                  <pic:blipFill>
                    <a:blip r:embed="rId9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8CD0D5E" wp14:editId="3D868E2A">
            <wp:extent cx="5000000" cy="35602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mSJEmSJEm10mj8f+VnMXHGgVZTAAAAAElFTkSuQmCC"/>
                    <pic:cNvPicPr/>
                  </pic:nvPicPr>
                  <pic:blipFill>
                    <a:blip r:embed="rId9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E08B1E1" wp14:editId="5E9CEFA9">
            <wp:extent cx="5000000" cy="356026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yZ4BIt7XmKAAAAAElFTkSuQmCC"/>
                    <pic:cNvPicPr/>
                  </pic:nvPicPr>
                  <pic:blipFill>
                    <a:blip r:embed="rId9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45A30807" wp14:editId="1A77C205">
            <wp:extent cx="5000000" cy="356026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37oWxV8tdlAAAAAElFTkSuQmCC"/>
                    <pic:cNvPicPr/>
                  </pic:nvPicPr>
                  <pic:blipFill>
                    <a:blip r:embed="rId9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F5B0C9C" wp14:editId="62FFB1DC">
            <wp:extent cx="5000000" cy="356026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BJRU5ErkJggg=="/>
                    <pic:cNvPicPr/>
                  </pic:nvPicPr>
                  <pic:blipFill>
                    <a:blip r:embed="rId9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6572210" wp14:editId="57C26AD2">
            <wp:extent cx="5000000" cy="356026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mCQAAAABJRU5ErkJggg=="/>
                    <pic:cNvPicPr/>
                  </pic:nvPicPr>
                  <pic:blipFill>
                    <a:blip r:embed="rId9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888DE2B" wp14:editId="15BFF655">
            <wp:extent cx="5000000" cy="356026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AAAASUVORK5CYII="/>
                    <pic:cNvPicPr/>
                  </pic:nvPicPr>
                  <pic:blipFill>
                    <a:blip r:embed="rId9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059E523" wp14:editId="13B8236B">
            <wp:extent cx="5000000" cy="356026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9SlEGnc2yYwAAAABJRU5ErkJggg=="/>
                    <pic:cNvPicPr/>
                  </pic:nvPicPr>
                  <pic:blipFill>
                    <a:blip r:embed="rId10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A338017" wp14:editId="44C5A763">
            <wp:extent cx="5000000" cy="356026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ElFTkSuQmCC"/>
                    <pic:cNvPicPr/>
                  </pic:nvPicPr>
                  <pic:blipFill>
                    <a:blip r:embed="rId10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6DB3535D" wp14:editId="1392175D">
            <wp:extent cx="5000000" cy="35602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23rL2l8AAAAASUVORK5CYII="/>
                    <pic:cNvPicPr/>
                  </pic:nvPicPr>
                  <pic:blipFill>
                    <a:blip r:embed="rId10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69718EF" wp14:editId="4DA473F9">
            <wp:extent cx="5000000" cy="356026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URvgPAAAAAACFEf4DAAAAAEBhhP8AAAAAAFAY4T8AAAAAABRG+A8AAAAAAEVJ6f8z58IbZ4alTAAAAABJRU5ErkJggg=="/>
                    <pic:cNvPicPr/>
                  </pic:nvPicPr>
                  <pic:blipFill>
                    <a:blip r:embed="rId10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901E78E" wp14:editId="191D1319">
            <wp:extent cx="5000000" cy="356026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BwLslJvAAAAAElFTkSuQmCC"/>
                    <pic:cNvPicPr/>
                  </pic:nvPicPr>
                  <pic:blipFill>
                    <a:blip r:embed="rId10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B7257C3" wp14:editId="3C9D97BA">
            <wp:extent cx="5000000" cy="35602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WI+mbYtMRUAAAAAElFTkSuQmCC"/>
                    <pic:cNvPicPr/>
                  </pic:nvPicPr>
                  <pic:blipFill>
                    <a:blip r:embed="rId10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4D283C7" wp14:editId="1B162E87">
            <wp:extent cx="5000000" cy="356026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AAAAABJRU5ErkJggg=="/>
                    <pic:cNvPicPr/>
                  </pic:nvPicPr>
                  <pic:blipFill>
                    <a:blip r:embed="rId10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D03C497" wp14:editId="54999CA3">
            <wp:extent cx="5000000" cy="356026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IIIYQQQgghhBBCCFFkSPgvhBBCCCGEEEIIIYQQQhQZEv4LIYQQQgghhBBCCCGEEEWGhP9CCCGEEEIIIYQQQgghRJEh4b8QQgghhBBCCCGEEEIIUWRI+C+EEEIIIYQQQgghhBBCFBWZzP8DX2Zc40Ro6LYAAAAASUVORK5CYII="/>
                    <pic:cNvPicPr/>
                  </pic:nvPicPr>
                  <pic:blipFill>
                    <a:blip r:embed="rId10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41AF381" wp14:editId="38FC70FC">
            <wp:extent cx="5000000" cy="356026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Vz92ap54IAAAAASUVORK5CYII="/>
                    <pic:cNvPicPr/>
                  </pic:nvPicPr>
                  <pic:blipFill>
                    <a:blip r:embed="rId10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7873436" wp14:editId="28EACC18">
            <wp:extent cx="5000000" cy="356026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AAAAAECM+A8AAAAAADHiPwAAAAAApMwcMyZG84zykIEAAAAASUVORK5CYII="/>
                    <pic:cNvPicPr/>
                  </pic:nvPicPr>
                  <pic:blipFill>
                    <a:blip r:embed="rId10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52A46B57" wp14:editId="08B6D268">
            <wp:extent cx="5000000" cy="356026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Isj7Wkr2gAAAABJRU5ErkJggg=="/>
                    <pic:cNvPicPr/>
                  </pic:nvPicPr>
                  <pic:blipFill>
                    <a:blip r:embed="rId11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8B2A58A" wp14:editId="28857D18">
            <wp:extent cx="5000000" cy="356026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AAAASUVORK5CYII="/>
                    <pic:cNvPicPr/>
                  </pic:nvPicPr>
                  <pic:blipFill>
                    <a:blip r:embed="rId11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41CD305" wp14:editId="00D81D5E">
            <wp:extent cx="5000000" cy="356026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AAAAAgRvwHAAAAAIAY8R8AAAAAAGLEfwAAAAAASJk5QleORzJh3P4AAAAASUVORK5CYII="/>
                    <pic:cNvPicPr/>
                  </pic:nvPicPr>
                  <pic:blipFill>
                    <a:blip r:embed="rId11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DEB5B9D" wp14:editId="49268647">
            <wp:extent cx="5000000" cy="356026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jqsIJAIACKgAAAABJRU5ErkJggg=="/>
                    <pic:cNvPicPr/>
                  </pic:nvPicPr>
                  <pic:blipFill>
                    <a:blip r:embed="rId11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65FA3AEA" wp14:editId="4BB31D24">
            <wp:extent cx="5000000" cy="356026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vLAbEA4J6EAAAAAElFTkSuQmCC"/>
                    <pic:cNvPicPr/>
                  </pic:nvPicPr>
                  <pic:blipFill>
                    <a:blip r:embed="rId11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171CAC4" wp14:editId="757C8F20">
            <wp:extent cx="5000000" cy="356026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av7YAAAAAElFTkSuQmCC"/>
                    <pic:cNvPicPr/>
                  </pic:nvPicPr>
                  <pic:blipFill>
                    <a:blip r:embed="rId11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468BBB3B" wp14:editId="799AA2F8">
            <wp:extent cx="5000000" cy="356026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5LytG3TrBBQAAAABJRU5ErkJggg=="/>
                    <pic:cNvPicPr/>
                  </pic:nvPicPr>
                  <pic:blipFill>
                    <a:blip r:embed="rId11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C6AEA72" wp14:editId="6CB0F60C">
            <wp:extent cx="5000000" cy="356026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oCxSfWYbjTwAAAABJRU5ErkJggg=="/>
                    <pic:cNvPicPr/>
                  </pic:nvPicPr>
                  <pic:blipFill>
                    <a:blip r:embed="rId11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5BDC1402" wp14:editId="24F86F10">
            <wp:extent cx="5000000" cy="356026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HReWXZAAAAAASUVORK5CYII="/>
                    <pic:cNvPicPr/>
                  </pic:nvPicPr>
                  <pic:blipFill>
                    <a:blip r:embed="rId11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9C98696" wp14:editId="733D1729">
            <wp:extent cx="5000000" cy="356026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89LM42qjoPAAAAAElFTkSuQmCC"/>
                    <pic:cNvPicPr/>
                  </pic:nvPicPr>
                  <pic:blipFill>
                    <a:blip r:embed="rId11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9AE649A" wp14:editId="02562038">
            <wp:extent cx="5000000" cy="356026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DEyH8AAAAAAEjZDtG5WT5lMSfOAAAAAElFTkSuQmCC"/>
                    <pic:cNvPicPr/>
                  </pic:nvPicPr>
                  <pic:blipFill>
                    <a:blip r:embed="rId12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D1EC7A1" wp14:editId="60DD49AC">
            <wp:extent cx="5000000" cy="356026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AUVMk0Tt7b4AAAAASUVORK5CYII="/>
                    <pic:cNvPicPr/>
                  </pic:nvPicPr>
                  <pic:blipFill>
                    <a:blip r:embed="rId12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46048B1" wp14:editId="1CD175C9">
            <wp:extent cx="5000000" cy="356026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AAAAElFTkSuQmCC"/>
                    <pic:cNvPicPr/>
                  </pic:nvPicPr>
                  <pic:blipFill>
                    <a:blip r:embed="rId12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AA05E70" wp14:editId="6553ADED">
            <wp:extent cx="5000000" cy="356026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pzhpibwQDxAAAAAElFTkSuQmCC"/>
                    <pic:cNvPicPr/>
                  </pic:nvPicPr>
                  <pic:blipFill>
                    <a:blip r:embed="rId12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564442A0" wp14:editId="13BCD2B0">
            <wp:extent cx="5000000" cy="356026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bw0EMAAAAAADOyH8AAAAAALhSAzrwOKaV7+J8AAAAAElFTkSuQmCC"/>
                    <pic:cNvPicPr/>
                  </pic:nvPicPr>
                  <pic:blipFill>
                    <a:blip r:embed="rId12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DEB6641" wp14:editId="5ABEADEB">
            <wp:extent cx="5000000" cy="356026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AAAAAgjPgPAAAAAABhxH8AAAAAAIhSyj8Ik0XVgXUwSgAAAABJRU5ErkJggg=="/>
                    <pic:cNvPicPr/>
                  </pic:nvPicPr>
                  <pic:blipFill>
                    <a:blip r:embed="rId12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6022F632" wp14:editId="384BD699">
            <wp:extent cx="5000000" cy="356026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AAAAQMrMAWh2UjQfAA3tAAAAAElFTkSuQmCC"/>
                    <pic:cNvPicPr/>
                  </pic:nvPicPr>
                  <pic:blipFill>
                    <a:blip r:embed="rId12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0747DC7" wp14:editId="200A1F1A">
            <wp:extent cx="5000000" cy="356026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AAAAIDKCP8BAAAAAKAywn8AAAAAAKiM8B8AAAAAAKrSNP8D+PH10PFWnPcAAAAASUVORK5CYII="/>
                    <pic:cNvPicPr/>
                  </pic:nvPicPr>
                  <pic:blipFill>
                    <a:blip r:embed="rId12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F57D9D3" wp14:editId="284C4207">
            <wp:extent cx="5000000" cy="35602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wS5c5sHtAAAAAElFTkSuQmCC"/>
                    <pic:cNvPicPr/>
                  </pic:nvPicPr>
                  <pic:blipFill>
                    <a:blip r:embed="rId12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08DE03C" wp14:editId="2DE02189">
            <wp:extent cx="5000000" cy="356026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YdY+I45FNMAAAAAElFTkSuQmCC"/>
                    <pic:cNvPicPr/>
                  </pic:nvPicPr>
                  <pic:blipFill>
                    <a:blip r:embed="rId12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A73400B" wp14:editId="026C8D1D">
            <wp:extent cx="5000000" cy="35602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AAAAoFOa5v8Az8s9RMSH75MAAAAASUVORK5CYII="/>
                    <pic:cNvPicPr/>
                  </pic:nvPicPr>
                  <pic:blipFill>
                    <a:blip r:embed="rId13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96E3DF8" wp14:editId="354C21EC">
            <wp:extent cx="5000000" cy="35602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YQQQgghhBBCCCGEEKLMkPJfCCGEEEIIIYQQQgghhCgzpPwXQgghhBBCCCGEEEIIIcoMKf+FEEIIIYQQQgghhBBCiLIiiv4fSj2+UpH5KqkAAAAASUVORK5CYII="/>
                    <pic:cNvPicPr/>
                  </pic:nvPicPr>
                  <pic:blipFill>
                    <a:blip r:embed="rId13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44BE2883" wp14:editId="4E24F1E5">
            <wp:extent cx="5000000" cy="356026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2w0OabEAAAAASUVORK5CYII="/>
                    <pic:cNvPicPr/>
                  </pic:nvPicPr>
                  <pic:blipFill>
                    <a:blip r:embed="rId13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A60C2E4" wp14:editId="6D21A9D3">
            <wp:extent cx="5000000" cy="356026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ElFTkSuQmCC"/>
                    <pic:cNvPicPr/>
                  </pic:nvPicPr>
                  <pic:blipFill>
                    <a:blip r:embed="rId13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F7CED60" wp14:editId="36AB611B">
            <wp:extent cx="5000000" cy="356026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jwBrVRGa0AAAAASUVORK5CYII="/>
                    <pic:cNvPicPr/>
                  </pic:nvPicPr>
                  <pic:blipFill>
                    <a:blip r:embed="rId13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7B90B7E" wp14:editId="40FAD3F0">
            <wp:extent cx="5000000" cy="356026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EmSJEmSJJWMwX9JkiRJkiRJkkrG4L8kSZIkSZIkSSVj8F+SJEmSJEmSpFJJ6f8BFCz87DOvWA4AAAAASUVORK5CYII="/>
                    <pic:cNvPicPr/>
                  </pic:nvPicPr>
                  <pic:blipFill>
                    <a:blip r:embed="rId13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71A17EFE" wp14:editId="5B91CA30">
            <wp:extent cx="5000000" cy="356026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9TiApu1iPgAAAAASUVORK5CYII="/>
                    <pic:cNvPicPr/>
                  </pic:nvPicPr>
                  <pic:blipFill>
                    <a:blip r:embed="rId13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3066D48" wp14:editId="289B0E77">
            <wp:extent cx="5000000" cy="356026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AAAAAgjPgPAAAAAABhxH8AAAAAAIjS2gcporYEXTuYAgAAAABJRU5ErkJggg=="/>
                    <pic:cNvPicPr/>
                  </pic:nvPicPr>
                  <pic:blipFill>
                    <a:blip r:embed="rId13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5F86C49F" wp14:editId="5031ECFD">
            <wp:extent cx="5000000" cy="356026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IIIYQQQgghhBBCCFFhSPgvhBBCCCGEEEIIIYQQQlQYEv4LIYQQQgghhBBCCCGEEBWGhP9CCCGEEEIIIYQQQgghREURRf8P7FWifXjO70EAAAAASUVORK5CYII="/>
                    <pic:cNvPicPr/>
                  </pic:nvPicPr>
                  <pic:blipFill>
                    <a:blip r:embed="rId13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65D8EF6" wp14:editId="6E42402B">
            <wp:extent cx="5000000" cy="356026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RJkiRJkiS1mNFqtVr9T0mSJEmSJEmS1Aps+S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osx+C9JkiRJkiRJUkspiv8P1QtZ5V5i9foAAAAASUVORK5CYII="/>
                    <pic:cNvPicPr/>
                  </pic:nvPicPr>
                  <pic:blipFill>
                    <a:blip r:embed="rId13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7EA4926D" wp14:editId="0A925384">
            <wp:extent cx="5000000" cy="356026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IbpcIaQqm6AAAAAElFTkSuQmCC"/>
                    <pic:cNvPicPr/>
                  </pic:nvPicPr>
                  <pic:blipFill>
                    <a:blip r:embed="rId14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A9AA26E" wp14:editId="095627A3">
            <wp:extent cx="5000000" cy="356026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AAAAElFTkSuQmCC"/>
                    <pic:cNvPicPr/>
                  </pic:nvPicPr>
                  <pic:blipFill>
                    <a:blip r:embed="rId14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493B4B3E" wp14:editId="02C257C1">
            <wp:extent cx="5000000" cy="356026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j1DAAAAAElFTkSuQmCC"/>
                    <pic:cNvPicPr/>
                  </pic:nvPicPr>
                  <pic:blipFill>
                    <a:blip r:embed="rId14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4AD2C80" wp14:editId="32911CD8">
            <wp:extent cx="5000000" cy="356026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EmSJEmSJNWMwX9JkiRJkiRJkmrG4L8kSZIkSZIkSTVj8F+SJEmSJEmSpJox+C9JkiRJkiRJUq0Uxf8HWGtHq3dNa28AAAAASUVORK5CYII="/>
                    <pic:cNvPicPr/>
                  </pic:nvPicPr>
                  <pic:blipFill>
                    <a:blip r:embed="rId14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40C5C12" wp14:editId="6934CA98">
            <wp:extent cx="5000000" cy="356026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dGacEqCYVWQAAAABJRU5ErkJggg=="/>
                    <pic:cNvPicPr/>
                  </pic:nvPicPr>
                  <pic:blipFill>
                    <a:blip r:embed="rId14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94D21EE" wp14:editId="0F1B72D8">
            <wp:extent cx="5000000" cy="356026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E7azme4Q2BAAAAABJRU5ErkJggg=="/>
                    <pic:cNvPicPr/>
                  </pic:nvPicPr>
                  <pic:blipFill>
                    <a:blip r:embed="rId14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B11719B" wp14:editId="5740166F">
            <wp:extent cx="5000000" cy="356026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ahbXXb68JDAAAAAElFTkSuQmCC"/>
                    <pic:cNvPicPr/>
                  </pic:nvPicPr>
                  <pic:blipFill>
                    <a:blip r:embed="rId14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0A972F8" wp14:editId="0FAC7B59">
            <wp:extent cx="5000000" cy="356026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D6kD6UilSLAAAAAElFTkSuQmCC"/>
                    <pic:cNvPicPr/>
                  </pic:nvPicPr>
                  <pic:blipFill>
                    <a:blip r:embed="rId14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6704C458" wp14:editId="3CED5AF5">
            <wp:extent cx="5000000" cy="35602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AAAAElFTkSuQmCC"/>
                    <pic:cNvPicPr/>
                  </pic:nvPicPr>
                  <pic:blipFill>
                    <a:blip r:embed="rId14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8C72D8F" wp14:editId="0C2BCEDF">
            <wp:extent cx="5000000" cy="356026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ltQXlk++JIAAAAASUVORK5CYII="/>
                    <pic:cNvPicPr/>
                  </pic:nvPicPr>
                  <pic:blipFill>
                    <a:blip r:embed="rId14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7AC07AC" wp14:editId="6DAF0FF9">
            <wp:extent cx="5000000" cy="356026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SJEmSJEmSVClF8f8BZPfegHpMOYcAAAAASUVORK5CYII="/>
                    <pic:cNvPicPr/>
                  </pic:nvPicPr>
                  <pic:blipFill>
                    <a:blip r:embed="rId15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7004B007" wp14:editId="7EE1DE05">
            <wp:extent cx="5000000" cy="356026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ZnEC65e+MhAAAAAElFTkSuQmCC"/>
                    <pic:cNvPicPr/>
                  </pic:nvPicPr>
                  <pic:blipFill>
                    <a:blip r:embed="rId15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A0F7228" wp14:editId="7D9B4A9C">
            <wp:extent cx="5000000" cy="356026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17G2WqW04AAAAASUVORK5CYII="/>
                    <pic:cNvPicPr/>
                  </pic:nvPicPr>
                  <pic:blipFill>
                    <a:blip r:embed="rId15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98A39F5" wp14:editId="56DE4C70">
            <wp:extent cx="5000000" cy="356026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hvJlmSIW4IAAAAAElFTkSuQmCC"/>
                    <pic:cNvPicPr/>
                  </pic:nvPicPr>
                  <pic:blipFill>
                    <a:blip r:embed="rId15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92735C3" wp14:editId="604641D8">
            <wp:extent cx="5000000" cy="35602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ZM1Tb5eswAAAABJRU5ErkJggg=="/>
                    <pic:cNvPicPr/>
                  </pic:nvPicPr>
                  <pic:blipFill>
                    <a:blip r:embed="rId15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258EAAB" wp14:editId="282F4484">
            <wp:extent cx="5000000" cy="356026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mSJEmSJElSO7Dm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cbgvyRJkiRJkiRJbaXR+P8zksOIrxwHIAAAAABJRU5ErkJggg=="/>
                    <pic:cNvPicPr/>
                  </pic:nvPicPr>
                  <pic:blipFill>
                    <a:blip r:embed="rId15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8643DBE" wp14:editId="78A17EEE">
            <wp:extent cx="5000000" cy="356026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CkzBwZ+dpaYIqjrQAAAABJRU5ErkJggg=="/>
                    <pic:cNvPicPr/>
                  </pic:nvPicPr>
                  <pic:blipFill>
                    <a:blip r:embed="rId15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68F79A7" wp14:editId="293AEBFD">
            <wp:extent cx="5000000" cy="356026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Zbq4oK6nIAAAAASUVORK5CYII="/>
                    <pic:cNvPicPr/>
                  </pic:nvPicPr>
                  <pic:blipFill>
                    <a:blip r:embed="rId15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547C071A" wp14:editId="35294125">
            <wp:extent cx="5000000" cy="356026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IIIYQQQgghhBBCCJFnSPwXQgghhBBCCCGEEEIIIfIMif9CCCGEEEIIIYQQQgghRJ4h8V8IIYQQQgghhBBCCCGEyCui6P8B4LUbSRkPM+4AAAAASUVORK5CYII="/>
                    <pic:cNvPicPr/>
                  </pic:nvPicPr>
                  <pic:blipFill>
                    <a:blip r:embed="rId15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AB4F3F9" wp14:editId="5B004E87">
            <wp:extent cx="5000000" cy="356026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IkSZIkSZIkVYzBf0mSJEmSJEmSKqVW+3+16Qpjk7TJ5wAAAABJRU5ErkJggg=="/>
                    <pic:cNvPicPr/>
                  </pic:nvPicPr>
                  <pic:blipFill>
                    <a:blip r:embed="rId15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5D17E4A" wp14:editId="40E6B047">
            <wp:extent cx="5000000" cy="356026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1wzrs9kwAAAABJRU5ErkJggg=="/>
                    <pic:cNvPicPr/>
                  </pic:nvPicPr>
                  <pic:blipFill>
                    <a:blip r:embed="rId16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D057400" wp14:editId="05400689">
            <wp:extent cx="5000000" cy="356026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IIIYQQQgghhBBCCFFiSPgvhBBCCCGEEEIIIYQQQpQYEv4LIYQQQgghhBBCCCGEECWGhP9CCCGEEEIIIYQQQgghRIkh4b8QQgghhBBCCCGEEEIIUVJE0f8DDfPkh6GfdTYAAAAASUVORK5CYII="/>
                    <pic:cNvPicPr/>
                  </pic:nvPicPr>
                  <pic:blipFill>
                    <a:blip r:embed="rId16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044763DB" wp14:editId="41CE70DF">
            <wp:extent cx="5000000" cy="356026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mCWeErclV9AAAAAElFTkSuQmCC"/>
                    <pic:cNvPicPr/>
                  </pic:nvPicPr>
                  <pic:blipFill>
                    <a:blip r:embed="rId16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27CCEA36" wp14:editId="7B41F33A">
            <wp:extent cx="5000000" cy="356026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EmSJEmSJDWMwX9JkiRJkiRJkhrG4L8kSZIkSZIkSQ1j8F+SJEmSJEmSpIYx+C9JkiRJkiRJUqO0Wv8fhpk+aocXLzMAAAAASUVORK5CYII="/>
                    <pic:cNvPicPr/>
                  </pic:nvPicPr>
                  <pic:blipFill>
                    <a:blip r:embed="rId16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C1D0191" wp14:editId="6FD1D723">
            <wp:extent cx="5000000" cy="356026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GOMMcYYY4wxxhhjTJth5b8xxhhjjDHGGGOMMcYY01bUav8f43sLsfUj2DAAAAAASUVORK5CYII="/>
                    <pic:cNvPicPr/>
                  </pic:nvPicPr>
                  <pic:blipFill>
                    <a:blip r:embed="rId16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0375425" wp14:editId="45A40827">
            <wp:extent cx="5000000" cy="356026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9XdBHNy58mlgAAAABJRU5ErkJggg=="/>
                    <pic:cNvPicPr/>
                  </pic:nvPicPr>
                  <pic:blipFill>
                    <a:blip r:embed="rId16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40D98B8C" wp14:editId="74CB495B">
            <wp:extent cx="5000000" cy="356026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tHoAAAAASUVORK5CYII="/>
                    <pic:cNvPicPr/>
                  </pic:nvPicPr>
                  <pic:blipFill>
                    <a:blip r:embed="rId16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5CA1D8C" wp14:editId="25DC5682">
            <wp:extent cx="5000000" cy="356026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IIIYQQQgghhBBCCFFiSPgvhBBCCCGEEEIIIYQQQpQYEv4LIYQQQgghhBBCCCGEECWGhP9CCCGEEEIIIYQQQgghREkRRf8P6B4zNZpDcL0AAAAASUVORK5CYII="/>
                    <pic:cNvPicPr/>
                  </pic:nvPicPr>
                  <pic:blipFill>
                    <a:blip r:embed="rId16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10EF7A1E" wp14:editId="4E2C8FEA">
            <wp:extent cx="5000000" cy="356026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K9XR0yA6lMAAAAASUVORK5CYII="/>
                    <pic:cNvPicPr/>
                  </pic:nvPicPr>
                  <pic:blipFill>
                    <a:blip r:embed="rId16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E99D4A2" wp14:editId="0E7F0F6A">
            <wp:extent cx="5000000" cy="356026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uv4yp1NddswAAAABJRU5ErkJggg=="/>
                    <pic:cNvPicPr/>
                  </pic:nvPicPr>
                  <pic:blipFill>
                    <a:blip r:embed="rId16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B7F10B4" wp14:editId="14B08FE7">
            <wp:extent cx="5000000" cy="356026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BCCCGEEEIIIYQQQogGRRT9fyZCPMVlEoxuAAAAAElFTkSuQmCC"/>
                    <pic:cNvPicPr/>
                  </pic:nvPicPr>
                  <pic:blipFill>
                    <a:blip r:embed="rId17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48D4178" wp14:editId="4A158D68">
            <wp:extent cx="5000000" cy="356026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AAAAIGU7D3Zkoyc0blcAAAAASUVORK5CYII="/>
                    <pic:cNvPicPr/>
                  </pic:nvPicPr>
                  <pic:blipFill>
                    <a:blip r:embed="rId17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7DEAF71" wp14:editId="74FD41A9">
            <wp:extent cx="5000000" cy="356026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AAAAICWEf4DAAAAAEDLCP8BAAAAAKBlhP8AAAAAANAywn8AAAAAAGiVUv4P+1+Ls8QiOPAAAAAASUVORK5CYII="/>
                    <pic:cNvPicPr/>
                  </pic:nvPicPr>
                  <pic:blipFill>
                    <a:blip r:embed="rId17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2CCF8C4" wp14:editId="7C704127">
            <wp:extent cx="5000000" cy="356026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AAAAAgRvwHAAAAAIAY8R8AAAAAAFJmDmQgumdLHjtlAAAAAElFTkSuQmCC"/>
                    <pic:cNvPicPr/>
                  </pic:nvPicPr>
                  <pic:blipFill>
                    <a:blip r:embed="rId17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79808015" wp14:editId="51BE9CD7">
            <wp:extent cx="5000000" cy="356026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IkSZIkSZKaSlH8PxpiXgrGXCbJAAAAAElFTkSuQmCC"/>
                    <pic:cNvPicPr/>
                  </pic:nvPicPr>
                  <pic:blipFill>
                    <a:blip r:embed="rId174"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893BDA6" wp14:editId="76DF3F1A">
            <wp:extent cx="5000000" cy="356026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CEEf8BAAAAACBKKX8ANxFgWBTo4y8AAAAASUVORK5CYII="/>
                    <pic:cNvPicPr/>
                  </pic:nvPicPr>
                  <pic:blipFill>
                    <a:blip r:embed="rId175"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6D84B251" wp14:editId="16B9C098">
            <wp:extent cx="5000000" cy="356026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xk2OAYs+gAAAABJRU5ErkJggg=="/>
                    <pic:cNvPicPr/>
                  </pic:nvPicPr>
                  <pic:blipFill>
                    <a:blip r:embed="rId176"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F1E41BC" wp14:editId="76CCC42D">
            <wp:extent cx="5000000" cy="356026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rf4mAAAAAElFTkSuQmCC"/>
                    <pic:cNvPicPr/>
                  </pic:nvPicPr>
                  <pic:blipFill>
                    <a:blip r:embed="rId17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88EEE5B" wp14:editId="0E5AE437">
            <wp:extent cx="5000000" cy="356026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SJEmSJEmS1Cit1v8D7vdxwZSzcLAAAAAASUVORK5CYII="/>
                    <pic:cNvPicPr/>
                  </pic:nvPicPr>
                  <pic:blipFill>
                    <a:blip r:embed="rId17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FF1CC93" wp14:editId="0A41FEE5">
            <wp:extent cx="5000000" cy="356026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jbKsd9QSbQAAAAABJRU5ErkJggg=="/>
                    <pic:cNvPicPr/>
                  </pic:nvPicPr>
                  <pic:blipFill>
                    <a:blip r:embed="rId17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20DC425A" wp14:editId="3CEA4226">
            <wp:extent cx="5000000" cy="356026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P4AAAAASUVORK5CYII="/>
                    <pic:cNvPicPr/>
                  </pic:nvPicPr>
                  <pic:blipFill>
                    <a:blip r:embed="rId18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1F88247" wp14:editId="35AA826F">
            <wp:extent cx="5000000" cy="356026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zOpPcyq9DJwAAAABJRU5ErkJggg=="/>
                    <pic:cNvPicPr/>
                  </pic:nvPicPr>
                  <pic:blipFill>
                    <a:blip r:embed="rId18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95AAF58" wp14:editId="5705BDB3">
            <wp:extent cx="5000000" cy="7021957"/>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6wQ7T+DTVxQAAAABJRU5ErkJggg=="/>
                    <pic:cNvPicPr/>
                  </pic:nvPicPr>
                  <pic:blipFill>
                    <a:blip r:embed="rId182"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124B6A1A" wp14:editId="72321466">
            <wp:extent cx="5000000" cy="702195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z7DYgqDljAAAAAElFTkSuQmCC"/>
                    <pic:cNvPicPr/>
                  </pic:nvPicPr>
                  <pic:blipFill>
                    <a:blip r:embed="rId183"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6458CA9" wp14:editId="3531EFC2">
            <wp:extent cx="5000000" cy="7021957"/>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LETuWdeIr1cUISIiIiIiIiIyEfE8MYyIiIiIiIiITBKLIkRERERERERkklgUISIiIiIiIiKT9H8DdIr3ofWaNAAAAABJRU5ErkJggg=="/>
                    <pic:cNvPicPr/>
                  </pic:nvPicPr>
                  <pic:blipFill>
                    <a:blip r:embed="rId184"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57C7C070" wp14:editId="252E7629">
            <wp:extent cx="5000000" cy="7021957"/>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QAAAABJRU5ErkJggg=="/>
                    <pic:cNvPicPr/>
                  </pic:nvPicPr>
                  <pic:blipFill>
                    <a:blip r:embed="rId185"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0277C4D6" wp14:editId="47C6F339">
            <wp:extent cx="5000000" cy="7021957"/>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"/>
                    <pic:cNvPicPr/>
                  </pic:nvPicPr>
                  <pic:blipFill>
                    <a:blip r:embed="rId186" cstate="print">
                      <a:extLst/>
                    </a:blip>
                    <a:stretch>
                      <a:fillRect/>
                    </a:stretch>
                  </pic:blipFill>
                  <pic:spPr>
                    <a:xfrm>
                      <a:off x="0" y="0"/>
                      <a:ext cx="5000000" cy="7021957"/>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66DB55D" wp14:editId="29D39198">
            <wp:extent cx="5000000" cy="356026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AAAAAgZa0Tg969YM12hVUAAAAASUVORK5CYII="/>
                    <pic:cNvPicPr/>
                  </pic:nvPicPr>
                  <pic:blipFill>
                    <a:blip r:embed="rId187"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348541C5" wp14:editId="7738FC54">
            <wp:extent cx="5000000" cy="356026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ZhGn5ZAAAAAElFTkSuQmCC"/>
                    <pic:cNvPicPr/>
                  </pic:nvPicPr>
                  <pic:blipFill>
                    <a:blip r:embed="rId188"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60351395" wp14:editId="6F3D18B6">
            <wp:extent cx="5000000" cy="356026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XLHOatUvvcAAAAASUVORK5CYII="/>
                    <pic:cNvPicPr/>
                  </pic:nvPicPr>
                  <pic:blipFill>
                    <a:blip r:embed="rId189"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15E9F94D" wp14:editId="4C0DCA20">
            <wp:extent cx="5000000" cy="356026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1vFYj5trQGAAAAAElFTkSuQmCC"/>
                    <pic:cNvPicPr/>
                  </pic:nvPicPr>
                  <pic:blipFill>
                    <a:blip r:embed="rId190"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48100E95" wp14:editId="2B0C459E">
            <wp:extent cx="5000000" cy="356026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64GIWRuDVQAAAABJRU5ErkJggg=="/>
                    <pic:cNvPicPr/>
                  </pic:nvPicPr>
                  <pic:blipFill>
                    <a:blip r:embed="rId191"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10D78FEC" wp14:editId="38B91C30">
            <wp:extent cx="5000000" cy="356026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mlZYTxPLUAAAAASUVORK5CYII="/>
                    <pic:cNvPicPr/>
                  </pic:nvPicPr>
                  <pic:blipFill>
                    <a:blip r:embed="rId192"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lastRenderedPageBreak/>
        <w:drawing>
          <wp:inline distT="0" distB="0" distL="0" distR="0" wp14:anchorId="307B33E8" wp14:editId="0183164A">
            <wp:extent cx="5000000" cy="356026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RMqf0qSJEmSJEmSpG5gz3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qMwX9JkiRJkiRJkrpKCP8fJ1C8tTD+SloAAAAASUVORK5CYII="/>
                    <pic:cNvPicPr/>
                  </pic:nvPicPr>
                  <pic:blipFill>
                    <a:blip r:embed="rId193" cstate="print">
                      <a:extLst/>
                    </a:blip>
                    <a:stretch>
                      <a:fillRect/>
                    </a:stretch>
                  </pic:blipFill>
                  <pic:spPr>
                    <a:xfrm>
                      <a:off x="0" y="0"/>
                      <a:ext cx="5000000" cy="3560260"/>
                    </a:xfrm>
                    <a:prstGeom prst="rect">
                      <a:avLst/>
                    </a:prstGeom>
                  </pic:spPr>
                </pic:pic>
              </a:graphicData>
            </a:graphic>
          </wp:inline>
        </w:drawing>
      </w:r>
    </w:p>
    <w:p w:rsidR="001D4868" w:rsidRDefault="001D4868" w:rsidP="001D4868">
      <w:pPr>
        <w:spacing w:line="210" w:lineRule="atLeast"/>
      </w:pPr>
      <w:r>
        <w:rPr>
          <w:rFonts w:ascii="Verdana" w:eastAsia="Verdana" w:hAnsi="Verdana" w:cs="Verdana"/>
        </w:rPr>
        <w:drawing>
          <wp:inline distT="0" distB="0" distL="0" distR="0" wp14:anchorId="1CFAC18B" wp14:editId="5ADFAEDD">
            <wp:extent cx="5000000" cy="356026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x5TH2ccJQAAAABJRU5ErkJggg=="/>
                    <pic:cNvPicPr/>
                  </pic:nvPicPr>
                  <pic:blipFill>
                    <a:blip r:embed="rId194" cstate="print">
                      <a:extLst/>
                    </a:blip>
                    <a:stretch>
                      <a:fillRect/>
                    </a:stretch>
                  </pic:blipFill>
                  <pic:spPr>
                    <a:xfrm>
                      <a:off x="0" y="0"/>
                      <a:ext cx="5000000" cy="3560260"/>
                    </a:xfrm>
                    <a:prstGeom prst="rect">
                      <a:avLst/>
                    </a:prstGeom>
                  </pic:spPr>
                </pic:pic>
              </a:graphicData>
            </a:graphic>
          </wp:inline>
        </w:drawing>
      </w:r>
    </w:p>
    <w:p w:rsidR="001D4868" w:rsidRPr="00412A09" w:rsidRDefault="001D4868" w:rsidP="00412A09">
      <w:pPr>
        <w:spacing w:before="120" w:after="120" w:line="276" w:lineRule="auto"/>
        <w:contextualSpacing w:val="0"/>
        <w:rPr>
          <w:rFonts w:ascii="Arial" w:eastAsia="Times New Roman" w:hAnsi="Arial" w:cs="Arial"/>
          <w:b/>
          <w:bCs/>
          <w:noProof w:val="0"/>
          <w:color w:val="333333"/>
          <w:sz w:val="20"/>
          <w:szCs w:val="20"/>
        </w:rPr>
      </w:pPr>
    </w:p>
    <w:sectPr w:rsidR="001D4868" w:rsidRPr="00412A09" w:rsidSect="00EF29C3">
      <w:footerReference w:type="default" r:id="rId195"/>
      <w:pgSz w:w="11906" w:h="16838" w:code="9"/>
      <w:pgMar w:top="426" w:right="780" w:bottom="280" w:left="760" w:header="720" w:footer="720"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7B32" w:rsidRDefault="008A7B32" w:rsidP="00517A41">
      <w:r>
        <w:separator/>
      </w:r>
    </w:p>
  </w:endnote>
  <w:endnote w:type="continuationSeparator" w:id="0">
    <w:p w:rsidR="008A7B32" w:rsidRDefault="008A7B32"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7B32" w:rsidRPr="00932A9A" w:rsidRDefault="008A7B32">
    <w:pPr>
      <w:pStyle w:val="Footer"/>
      <w:rPr>
        <w:caps/>
        <w:noProof/>
        <w:color w:val="5B9BD5"/>
      </w:rPr>
    </w:pPr>
    <w:r w:rsidRPr="00932A9A">
      <w:rPr>
        <w:caps/>
        <w:color w:val="5B9BD5"/>
      </w:rPr>
      <w:fldChar w:fldCharType="begin"/>
    </w:r>
    <w:r w:rsidRPr="00932A9A">
      <w:rPr>
        <w:caps/>
        <w:color w:val="5B9BD5"/>
      </w:rPr>
      <w:instrText xml:space="preserve"> PAGE   \* MERGEFORMAT </w:instrText>
    </w:r>
    <w:r w:rsidRPr="00932A9A">
      <w:rPr>
        <w:caps/>
        <w:color w:val="5B9BD5"/>
      </w:rPr>
      <w:fldChar w:fldCharType="separate"/>
    </w:r>
    <w:r w:rsidR="001D4868">
      <w:rPr>
        <w:caps/>
        <w:noProof/>
        <w:color w:val="5B9BD5"/>
      </w:rPr>
      <w:t>20</w:t>
    </w:r>
    <w:r w:rsidRPr="00932A9A">
      <w:rPr>
        <w:caps/>
        <w:noProof/>
        <w:color w:val="5B9BD5"/>
      </w:rPr>
      <w:fldChar w:fldCharType="end"/>
    </w:r>
  </w:p>
  <w:p w:rsidR="008A7B32" w:rsidRDefault="008A7B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7B32" w:rsidRDefault="008A7B32" w:rsidP="00517A41">
      <w:r>
        <w:separator/>
      </w:r>
    </w:p>
  </w:footnote>
  <w:footnote w:type="continuationSeparator" w:id="0">
    <w:p w:rsidR="008A7B32" w:rsidRDefault="008A7B32" w:rsidP="00517A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ttachedTemplate r:id="rId1"/>
  <w:defaultTabStop w:val="720"/>
  <w:hyphenationZone w:val="425"/>
  <w:characterSpacingControl w:val="doNotCompress"/>
  <w:hdrShapeDefaults>
    <o:shapedefaults v:ext="edit" spidmax="45057" style="mso-position-horizontal-relative:page;mso-position-vertical-relative:page;mso-width-relative:margin;mso-height-relative:margin" fill="f" fillcolor="white" stroke="f">
      <v:fill color="white" on="f"/>
      <v:stroke on="f"/>
      <o:colormru v:ext="edit" colors="#d6f9fe,#ccec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A9A"/>
    <w:rsid w:val="0003305F"/>
    <w:rsid w:val="00044975"/>
    <w:rsid w:val="00045402"/>
    <w:rsid w:val="000540A1"/>
    <w:rsid w:val="00064529"/>
    <w:rsid w:val="000831BD"/>
    <w:rsid w:val="000C5867"/>
    <w:rsid w:val="000F7DE4"/>
    <w:rsid w:val="00157BAD"/>
    <w:rsid w:val="0018073B"/>
    <w:rsid w:val="00192081"/>
    <w:rsid w:val="001A0326"/>
    <w:rsid w:val="001C11FA"/>
    <w:rsid w:val="001D4868"/>
    <w:rsid w:val="001E48E4"/>
    <w:rsid w:val="00251BA3"/>
    <w:rsid w:val="002A17CE"/>
    <w:rsid w:val="002F0105"/>
    <w:rsid w:val="00352BAB"/>
    <w:rsid w:val="003629AD"/>
    <w:rsid w:val="003678AF"/>
    <w:rsid w:val="00380192"/>
    <w:rsid w:val="003858A6"/>
    <w:rsid w:val="003960C1"/>
    <w:rsid w:val="003C4BB6"/>
    <w:rsid w:val="003D018B"/>
    <w:rsid w:val="00412A09"/>
    <w:rsid w:val="0042287B"/>
    <w:rsid w:val="0044547E"/>
    <w:rsid w:val="004777E6"/>
    <w:rsid w:val="004F4265"/>
    <w:rsid w:val="005029F7"/>
    <w:rsid w:val="00517A41"/>
    <w:rsid w:val="0056155A"/>
    <w:rsid w:val="0057571B"/>
    <w:rsid w:val="00596ED1"/>
    <w:rsid w:val="005D6DF1"/>
    <w:rsid w:val="005F6DF4"/>
    <w:rsid w:val="00606197"/>
    <w:rsid w:val="00643E74"/>
    <w:rsid w:val="00656EAF"/>
    <w:rsid w:val="00665421"/>
    <w:rsid w:val="006C26FD"/>
    <w:rsid w:val="006E10C5"/>
    <w:rsid w:val="006E26A9"/>
    <w:rsid w:val="0073071D"/>
    <w:rsid w:val="0075050F"/>
    <w:rsid w:val="007A55AE"/>
    <w:rsid w:val="007C396B"/>
    <w:rsid w:val="00801FF1"/>
    <w:rsid w:val="008050DD"/>
    <w:rsid w:val="0081111A"/>
    <w:rsid w:val="00824D13"/>
    <w:rsid w:val="008A7B32"/>
    <w:rsid w:val="00905917"/>
    <w:rsid w:val="009238C2"/>
    <w:rsid w:val="00932A9A"/>
    <w:rsid w:val="00944E3C"/>
    <w:rsid w:val="009A1B18"/>
    <w:rsid w:val="009B18DE"/>
    <w:rsid w:val="009B37BC"/>
    <w:rsid w:val="009B7D5A"/>
    <w:rsid w:val="009D4583"/>
    <w:rsid w:val="00A31AF5"/>
    <w:rsid w:val="00A43155"/>
    <w:rsid w:val="00A62947"/>
    <w:rsid w:val="00B11EDB"/>
    <w:rsid w:val="00B75805"/>
    <w:rsid w:val="00B87F8A"/>
    <w:rsid w:val="00C40AD5"/>
    <w:rsid w:val="00CA7A64"/>
    <w:rsid w:val="00CC3045"/>
    <w:rsid w:val="00D70371"/>
    <w:rsid w:val="00D8523F"/>
    <w:rsid w:val="00DA3096"/>
    <w:rsid w:val="00DB1263"/>
    <w:rsid w:val="00DD75D6"/>
    <w:rsid w:val="00DF72E5"/>
    <w:rsid w:val="00E110B2"/>
    <w:rsid w:val="00E25874"/>
    <w:rsid w:val="00E72AD7"/>
    <w:rsid w:val="00E83EE9"/>
    <w:rsid w:val="00EF29C3"/>
    <w:rsid w:val="00F058FC"/>
    <w:rsid w:val="00F0659D"/>
    <w:rsid w:val="00F80650"/>
    <w:rsid w:val="00FA6A61"/>
    <w:rsid w:val="00FC575F"/>
    <w:rsid w:val="00FD359D"/>
    <w:rsid w:val="00FE1D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7" style="mso-position-horizontal-relative:page;mso-position-vertical-relative:page;mso-width-relative:margin;mso-height-relative:margin" fill="f" fillcolor="white" stroke="f">
      <v:fill color="white" on="f"/>
      <v:stroke on="f"/>
      <o:colormru v:ext="edit" colors="#d6f9fe,#ccecff"/>
    </o:shapedefaults>
    <o:shapelayout v:ext="edit">
      <o:idmap v:ext="edit" data="1"/>
    </o:shapelayout>
  </w:shapeDefaults>
  <w:decimalSymbol w:val=","/>
  <w:listSeparator w:val=";"/>
  <w14:docId w14:val="0E496E01"/>
  <w15:docId w15:val="{824D371C-AFAF-4DB6-B27F-2DFA8EEB5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paragraph" w:styleId="Heading5">
    <w:name w:val="heading 5"/>
    <w:basedOn w:val="Normal"/>
    <w:link w:val="Heading5Char"/>
    <w:uiPriority w:val="9"/>
    <w:qFormat/>
    <w:rsid w:val="00DF72E5"/>
    <w:pPr>
      <w:spacing w:before="100" w:beforeAutospacing="1" w:after="100" w:afterAutospacing="1"/>
      <w:contextualSpacing w:val="0"/>
      <w:outlineLvl w:val="4"/>
    </w:pPr>
    <w:rPr>
      <w:rFonts w:ascii="inherit" w:eastAsia="Times New Roman" w:hAnsi="inherit" w:cs="Arial"/>
      <w:noProof w:val="0"/>
      <w:sz w:val="21"/>
      <w:szCs w:val="21"/>
      <w:lang w:eastAsia="sr-Latn-RS"/>
    </w:rPr>
  </w:style>
  <w:style w:type="paragraph" w:styleId="Heading6">
    <w:name w:val="heading 6"/>
    <w:basedOn w:val="Normal"/>
    <w:link w:val="Heading6Char"/>
    <w:uiPriority w:val="9"/>
    <w:qFormat/>
    <w:rsid w:val="00DF72E5"/>
    <w:pPr>
      <w:spacing w:before="100" w:beforeAutospacing="1" w:after="100" w:afterAutospacing="1"/>
      <w:contextualSpacing w:val="0"/>
      <w:outlineLvl w:val="5"/>
    </w:pPr>
    <w:rPr>
      <w:rFonts w:ascii="inherit" w:eastAsia="Times New Roman" w:hAnsi="inherit" w:cs="Arial"/>
      <w:noProof w:val="0"/>
      <w:sz w:val="15"/>
      <w:szCs w:val="15"/>
      <w:lang w:eastAsia="sr-Latn-R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7A55AE"/>
  </w:style>
  <w:style w:type="table" w:customStyle="1" w:styleId="TableGrid3">
    <w:name w:val="Table Grid3"/>
    <w:basedOn w:val="TableNormal"/>
    <w:next w:val="TableGrid0"/>
    <w:uiPriority w:val="59"/>
    <w:rsid w:val="007A55AE"/>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rsid w:val="002A17CE"/>
    <w:pPr>
      <w:spacing w:before="100" w:beforeAutospacing="1" w:after="100" w:afterAutospacing="1"/>
      <w:contextualSpacing w:val="0"/>
    </w:pPr>
    <w:rPr>
      <w:rFonts w:ascii="Arial" w:eastAsia="Times New Roman" w:hAnsi="Arial" w:cs="Arial"/>
      <w:noProof w:val="0"/>
      <w:sz w:val="22"/>
      <w:szCs w:val="22"/>
      <w:lang w:eastAsia="sr-Latn-CS"/>
    </w:rPr>
  </w:style>
  <w:style w:type="numbering" w:customStyle="1" w:styleId="NoList4">
    <w:name w:val="No List4"/>
    <w:next w:val="NoList"/>
    <w:uiPriority w:val="99"/>
    <w:semiHidden/>
    <w:unhideWhenUsed/>
    <w:rsid w:val="003858A6"/>
  </w:style>
  <w:style w:type="table" w:customStyle="1" w:styleId="TableGrid4">
    <w:name w:val="Table Grid4"/>
    <w:basedOn w:val="TableNormal"/>
    <w:next w:val="TableGrid0"/>
    <w:uiPriority w:val="59"/>
    <w:rsid w:val="003858A6"/>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2">
    <w:name w:val="Normal2"/>
    <w:basedOn w:val="Normal"/>
    <w:rsid w:val="00DB1263"/>
    <w:pPr>
      <w:spacing w:before="100" w:beforeAutospacing="1" w:after="100" w:afterAutospacing="1"/>
      <w:contextualSpacing w:val="0"/>
    </w:pPr>
    <w:rPr>
      <w:rFonts w:ascii="Arial" w:eastAsia="Times New Roman" w:hAnsi="Arial" w:cs="Arial"/>
      <w:noProof w:val="0"/>
      <w:sz w:val="22"/>
      <w:szCs w:val="22"/>
      <w:lang w:eastAsia="sr-Latn-CS"/>
    </w:rPr>
  </w:style>
  <w:style w:type="paragraph" w:styleId="BalloonText">
    <w:name w:val="Balloon Text"/>
    <w:basedOn w:val="Normal"/>
    <w:link w:val="BalloonTextChar"/>
    <w:uiPriority w:val="99"/>
    <w:semiHidden/>
    <w:unhideWhenUsed/>
    <w:rsid w:val="00E72AD7"/>
    <w:rPr>
      <w:rFonts w:ascii="Tahoma" w:hAnsi="Tahoma" w:cs="Tahoma"/>
      <w:sz w:val="16"/>
      <w:szCs w:val="16"/>
    </w:rPr>
  </w:style>
  <w:style w:type="character" w:customStyle="1" w:styleId="BalloonTextChar">
    <w:name w:val="Balloon Text Char"/>
    <w:basedOn w:val="DefaultParagraphFont"/>
    <w:link w:val="BalloonText"/>
    <w:uiPriority w:val="99"/>
    <w:semiHidden/>
    <w:rsid w:val="00E72AD7"/>
    <w:rPr>
      <w:rFonts w:ascii="Tahoma" w:hAnsi="Tahoma" w:cs="Tahoma"/>
      <w:noProof/>
      <w:sz w:val="16"/>
      <w:szCs w:val="16"/>
      <w:lang w:eastAsia="en-US"/>
    </w:rPr>
  </w:style>
  <w:style w:type="paragraph" w:customStyle="1" w:styleId="Normal3">
    <w:name w:val="Normal3"/>
    <w:basedOn w:val="Normal"/>
    <w:rsid w:val="00801FF1"/>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boldcentar">
    <w:name w:val="normalboldcentar"/>
    <w:basedOn w:val="Normal"/>
    <w:rsid w:val="00801FF1"/>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numbering" w:customStyle="1" w:styleId="NoList5">
    <w:name w:val="No List5"/>
    <w:next w:val="NoList"/>
    <w:uiPriority w:val="99"/>
    <w:semiHidden/>
    <w:unhideWhenUsed/>
    <w:rsid w:val="0073071D"/>
  </w:style>
  <w:style w:type="table" w:customStyle="1" w:styleId="TableGrid5">
    <w:name w:val="Table Grid5"/>
    <w:basedOn w:val="TableNormal"/>
    <w:next w:val="TableGrid0"/>
    <w:uiPriority w:val="59"/>
    <w:rsid w:val="0073071D"/>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5Char">
    <w:name w:val="Heading 5 Char"/>
    <w:basedOn w:val="DefaultParagraphFont"/>
    <w:link w:val="Heading5"/>
    <w:uiPriority w:val="9"/>
    <w:rsid w:val="00DF72E5"/>
    <w:rPr>
      <w:rFonts w:ascii="inherit" w:eastAsia="Times New Roman" w:hAnsi="inherit" w:cs="Arial"/>
      <w:sz w:val="21"/>
      <w:szCs w:val="21"/>
    </w:rPr>
  </w:style>
  <w:style w:type="character" w:customStyle="1" w:styleId="Heading6Char">
    <w:name w:val="Heading 6 Char"/>
    <w:basedOn w:val="DefaultParagraphFont"/>
    <w:link w:val="Heading6"/>
    <w:uiPriority w:val="9"/>
    <w:rsid w:val="00DF72E5"/>
    <w:rPr>
      <w:rFonts w:ascii="inherit" w:eastAsia="Times New Roman" w:hAnsi="inherit" w:cs="Arial"/>
      <w:sz w:val="15"/>
      <w:szCs w:val="15"/>
    </w:rPr>
  </w:style>
  <w:style w:type="numbering" w:customStyle="1" w:styleId="NoList6">
    <w:name w:val="No List6"/>
    <w:next w:val="NoList"/>
    <w:uiPriority w:val="99"/>
    <w:semiHidden/>
    <w:unhideWhenUsed/>
    <w:rsid w:val="00DF72E5"/>
  </w:style>
  <w:style w:type="paragraph" w:customStyle="1" w:styleId="msonormal0">
    <w:name w:val="msonormal"/>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styleId="NormalWeb">
    <w:name w:val="Normal (Web)"/>
    <w:basedOn w:val="Normal"/>
    <w:uiPriority w:val="99"/>
    <w:semiHidden/>
    <w:unhideWhenUsed/>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odluka-zakon">
    <w:name w:val="odluka-zakon"/>
    <w:basedOn w:val="Normal"/>
    <w:rsid w:val="00DF72E5"/>
    <w:pPr>
      <w:spacing w:before="225" w:after="225"/>
      <w:ind w:firstLine="480"/>
      <w:contextualSpacing w:val="0"/>
      <w:jc w:val="center"/>
    </w:pPr>
    <w:rPr>
      <w:rFonts w:ascii="Verdana" w:eastAsia="Times New Roman" w:hAnsi="Verdana" w:cs="Arial"/>
      <w:b/>
      <w:bCs/>
      <w:noProof w:val="0"/>
      <w:sz w:val="20"/>
      <w:szCs w:val="20"/>
      <w:lang w:eastAsia="sr-Latn-RS"/>
    </w:rPr>
  </w:style>
  <w:style w:type="paragraph" w:customStyle="1" w:styleId="naslov">
    <w:name w:val="naslov"/>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
    <w:name w:val="ukaz"/>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ukaz-naslov">
    <w:name w:val="ukaz-naslov"/>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broj">
    <w:name w:val="broj"/>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potpis">
    <w:name w:val="potpis"/>
    <w:basedOn w:val="Normal"/>
    <w:rsid w:val="00DF72E5"/>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broj-grupa">
    <w:name w:val="broj-grupa"/>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kraj-grupa">
    <w:name w:val="kraj-grupa"/>
    <w:basedOn w:val="Normal"/>
    <w:rsid w:val="00DF72E5"/>
    <w:pPr>
      <w:spacing w:after="150"/>
      <w:ind w:firstLine="480"/>
      <w:contextualSpacing w:val="0"/>
      <w:jc w:val="right"/>
    </w:pPr>
    <w:rPr>
      <w:rFonts w:ascii="Verdana" w:eastAsia="Times New Roman" w:hAnsi="Verdana" w:cs="Arial"/>
      <w:noProof w:val="0"/>
      <w:sz w:val="20"/>
      <w:szCs w:val="20"/>
      <w:lang w:eastAsia="sr-Latn-RS"/>
    </w:rPr>
  </w:style>
  <w:style w:type="paragraph" w:customStyle="1" w:styleId="firma">
    <w:name w:val="firma"/>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resenje">
    <w:name w:val="resenje"/>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f">
    <w:name w:val="f"/>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tilovimml">
    <w:name w:val="stilovi_mml"/>
    <w:basedOn w:val="Normal"/>
    <w:rsid w:val="00DF72E5"/>
    <w:pPr>
      <w:spacing w:after="150"/>
      <w:ind w:firstLine="480"/>
      <w:contextualSpacing w:val="0"/>
      <w:jc w:val="center"/>
    </w:pPr>
    <w:rPr>
      <w:rFonts w:ascii="Verdana" w:eastAsia="Times New Roman" w:hAnsi="Verdana" w:cs="Arial"/>
      <w:caps/>
      <w:noProof w:val="0"/>
      <w:color w:val="0E9606"/>
      <w:sz w:val="32"/>
      <w:szCs w:val="32"/>
      <w:lang w:eastAsia="sr-Latn-RS"/>
    </w:rPr>
  </w:style>
  <w:style w:type="paragraph" w:customStyle="1" w:styleId="akt">
    <w:name w:val="akt"/>
    <w:basedOn w:val="Normal"/>
    <w:rsid w:val="00DF72E5"/>
    <w:pPr>
      <w:spacing w:after="150"/>
      <w:ind w:firstLine="480"/>
      <w:contextualSpacing w:val="0"/>
      <w:jc w:val="both"/>
    </w:pPr>
    <w:rPr>
      <w:rFonts w:ascii="Verdana" w:eastAsia="Times New Roman" w:hAnsi="Verdana" w:cs="Arial"/>
      <w:noProof w:val="0"/>
      <w:sz w:val="20"/>
      <w:szCs w:val="20"/>
      <w:lang w:eastAsia="sr-Latn-RS"/>
    </w:rPr>
  </w:style>
  <w:style w:type="paragraph" w:customStyle="1" w:styleId="aktsupa-mml">
    <w:name w:val="aktsupa-mml"/>
    <w:basedOn w:val="Normal"/>
    <w:rsid w:val="00DF72E5"/>
    <w:pPr>
      <w:ind w:firstLine="480"/>
      <w:contextualSpacing w:val="0"/>
      <w:jc w:val="both"/>
    </w:pPr>
    <w:rPr>
      <w:rFonts w:ascii="Verdana" w:eastAsia="Times New Roman" w:hAnsi="Verdana" w:cs="Arial"/>
      <w:noProof w:val="0"/>
      <w:sz w:val="20"/>
      <w:szCs w:val="20"/>
      <w:lang w:eastAsia="sr-Latn-RS"/>
    </w:rPr>
  </w:style>
  <w:style w:type="paragraph" w:customStyle="1" w:styleId="naslovmml">
    <w:name w:val="naslov_mml"/>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boldmml">
    <w:name w:val="bold_mml"/>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bolditalikleft">
    <w:name w:val="bolditalikleft"/>
    <w:basedOn w:val="Normal"/>
    <w:rsid w:val="00DF72E5"/>
    <w:pPr>
      <w:ind w:firstLine="480"/>
      <w:contextualSpacing w:val="0"/>
      <w:jc w:val="both"/>
    </w:pPr>
    <w:rPr>
      <w:rFonts w:ascii="Verdana" w:eastAsia="Times New Roman" w:hAnsi="Verdana" w:cs="Arial"/>
      <w:b/>
      <w:bCs/>
      <w:i/>
      <w:iCs/>
      <w:noProof w:val="0"/>
      <w:sz w:val="20"/>
      <w:szCs w:val="20"/>
      <w:lang w:eastAsia="sr-Latn-RS"/>
    </w:rPr>
  </w:style>
  <w:style w:type="paragraph" w:customStyle="1" w:styleId="boldleft">
    <w:name w:val="boldleft"/>
    <w:basedOn w:val="Normal"/>
    <w:rsid w:val="00DF72E5"/>
    <w:pPr>
      <w:ind w:firstLine="480"/>
      <w:contextualSpacing w:val="0"/>
      <w:jc w:val="both"/>
    </w:pPr>
    <w:rPr>
      <w:rFonts w:ascii="Verdana" w:eastAsia="Times New Roman" w:hAnsi="Verdana" w:cs="Arial"/>
      <w:b/>
      <w:bCs/>
      <w:noProof w:val="0"/>
      <w:sz w:val="20"/>
      <w:szCs w:val="20"/>
      <w:lang w:eastAsia="sr-Latn-RS"/>
    </w:rPr>
  </w:style>
  <w:style w:type="paragraph" w:customStyle="1" w:styleId="italikmml">
    <w:name w:val="italik_mml"/>
    <w:basedOn w:val="Normal"/>
    <w:rsid w:val="00DF72E5"/>
    <w:pPr>
      <w:ind w:firstLine="480"/>
      <w:contextualSpacing w:val="0"/>
      <w:jc w:val="center"/>
    </w:pPr>
    <w:rPr>
      <w:rFonts w:ascii="Verdana" w:eastAsia="Times New Roman" w:hAnsi="Verdana" w:cs="Arial"/>
      <w:i/>
      <w:iCs/>
      <w:noProof w:val="0"/>
      <w:sz w:val="20"/>
      <w:szCs w:val="20"/>
      <w:lang w:eastAsia="sr-Latn-RS"/>
    </w:rPr>
  </w:style>
  <w:style w:type="paragraph" w:customStyle="1" w:styleId="italikleft">
    <w:name w:val="italikleft"/>
    <w:basedOn w:val="Normal"/>
    <w:rsid w:val="00DF72E5"/>
    <w:pPr>
      <w:ind w:firstLine="480"/>
      <w:contextualSpacing w:val="0"/>
      <w:jc w:val="both"/>
    </w:pPr>
    <w:rPr>
      <w:rFonts w:ascii="Verdana" w:eastAsia="Times New Roman" w:hAnsi="Verdana" w:cs="Arial"/>
      <w:i/>
      <w:iCs/>
      <w:noProof w:val="0"/>
      <w:sz w:val="20"/>
      <w:szCs w:val="20"/>
      <w:lang w:eastAsia="sr-Latn-RS"/>
    </w:rPr>
  </w:style>
  <w:style w:type="paragraph" w:customStyle="1" w:styleId="underlinemml">
    <w:name w:val="underline_mml"/>
    <w:basedOn w:val="Normal"/>
    <w:rsid w:val="00DF72E5"/>
    <w:pPr>
      <w:spacing w:after="150"/>
      <w:ind w:firstLine="480"/>
      <w:contextualSpacing w:val="0"/>
      <w:jc w:val="center"/>
    </w:pPr>
    <w:rPr>
      <w:rFonts w:ascii="Verdana" w:eastAsia="Times New Roman" w:hAnsi="Verdana" w:cs="Arial"/>
      <w:noProof w:val="0"/>
      <w:sz w:val="20"/>
      <w:szCs w:val="20"/>
      <w:u w:val="single"/>
      <w:lang w:eastAsia="sr-Latn-RS"/>
    </w:rPr>
  </w:style>
  <w:style w:type="paragraph" w:customStyle="1" w:styleId="underlineleft">
    <w:name w:val="underlineleft"/>
    <w:basedOn w:val="Normal"/>
    <w:rsid w:val="00DF72E5"/>
    <w:pPr>
      <w:spacing w:after="150"/>
      <w:ind w:firstLine="480"/>
      <w:contextualSpacing w:val="0"/>
    </w:pPr>
    <w:rPr>
      <w:rFonts w:ascii="Verdana" w:eastAsia="Times New Roman" w:hAnsi="Verdana" w:cs="Arial"/>
      <w:noProof w:val="0"/>
      <w:sz w:val="20"/>
      <w:szCs w:val="20"/>
      <w:u w:val="single"/>
      <w:lang w:eastAsia="sr-Latn-RS"/>
    </w:rPr>
  </w:style>
  <w:style w:type="paragraph" w:customStyle="1" w:styleId="spacijamml">
    <w:name w:val="spacija_mml"/>
    <w:basedOn w:val="Normal"/>
    <w:rsid w:val="00DF72E5"/>
    <w:pPr>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mml">
    <w:name w:val="centar_mml"/>
    <w:basedOn w:val="Normal"/>
    <w:rsid w:val="00DF72E5"/>
    <w:pPr>
      <w:ind w:firstLine="480"/>
      <w:contextualSpacing w:val="0"/>
      <w:jc w:val="center"/>
    </w:pPr>
    <w:rPr>
      <w:rFonts w:ascii="Verdana" w:eastAsia="Times New Roman" w:hAnsi="Verdana" w:cs="Arial"/>
      <w:noProof w:val="0"/>
      <w:sz w:val="20"/>
      <w:szCs w:val="20"/>
      <w:lang w:eastAsia="sr-Latn-RS"/>
    </w:rPr>
  </w:style>
  <w:style w:type="paragraph" w:customStyle="1" w:styleId="footnote">
    <w:name w:val="footnote"/>
    <w:basedOn w:val="Normal"/>
    <w:rsid w:val="00DF72E5"/>
    <w:pPr>
      <w:spacing w:after="150"/>
      <w:ind w:firstLine="480"/>
      <w:contextualSpacing w:val="0"/>
      <w:jc w:val="both"/>
    </w:pPr>
    <w:rPr>
      <w:rFonts w:ascii="Verdana" w:eastAsia="Times New Roman" w:hAnsi="Verdana" w:cs="Arial"/>
      <w:i/>
      <w:iCs/>
      <w:noProof w:val="0"/>
      <w:sz w:val="20"/>
      <w:szCs w:val="20"/>
      <w:lang w:eastAsia="sr-Latn-RS"/>
    </w:rPr>
  </w:style>
  <w:style w:type="paragraph" w:customStyle="1" w:styleId="superscript">
    <w:name w:val="superscript"/>
    <w:basedOn w:val="Normal"/>
    <w:rsid w:val="00DF72E5"/>
    <w:pPr>
      <w:spacing w:after="150"/>
      <w:ind w:firstLine="480"/>
      <w:contextualSpacing w:val="0"/>
    </w:pPr>
    <w:rPr>
      <w:rFonts w:ascii="Verdana" w:eastAsia="Times New Roman" w:hAnsi="Verdana" w:cs="Arial"/>
      <w:noProof w:val="0"/>
      <w:sz w:val="20"/>
      <w:szCs w:val="20"/>
      <w:vertAlign w:val="superscript"/>
      <w:lang w:eastAsia="sr-Latn-RS"/>
    </w:rPr>
  </w:style>
  <w:style w:type="paragraph" w:customStyle="1" w:styleId="subscript">
    <w:name w:val="subscript"/>
    <w:basedOn w:val="Normal"/>
    <w:rsid w:val="00DF72E5"/>
    <w:pPr>
      <w:spacing w:after="150"/>
      <w:ind w:firstLine="480"/>
      <w:contextualSpacing w:val="0"/>
    </w:pPr>
    <w:rPr>
      <w:rFonts w:ascii="Verdana" w:eastAsia="Times New Roman" w:hAnsi="Verdana" w:cs="Arial"/>
      <w:noProof w:val="0"/>
      <w:sz w:val="20"/>
      <w:szCs w:val="20"/>
      <w:vertAlign w:val="subscript"/>
      <w:lang w:eastAsia="sr-Latn-RS"/>
    </w:rPr>
  </w:style>
  <w:style w:type="paragraph" w:customStyle="1" w:styleId="tabela-podnaslov">
    <w:name w:val="tabela-podnaslov"/>
    <w:basedOn w:val="Normal"/>
    <w:rsid w:val="00DF72E5"/>
    <w:pPr>
      <w:pBdr>
        <w:top w:val="single" w:sz="6" w:space="4" w:color="808080"/>
        <w:left w:val="single" w:sz="6" w:space="0" w:color="808080"/>
        <w:bottom w:val="single" w:sz="6" w:space="4" w:color="808080"/>
        <w:right w:val="single" w:sz="6" w:space="0" w:color="808080"/>
      </w:pBdr>
      <w:shd w:val="clear" w:color="auto" w:fill="D8D8D8"/>
      <w:ind w:firstLine="480"/>
      <w:contextualSpacing w:val="0"/>
      <w:jc w:val="center"/>
    </w:pPr>
    <w:rPr>
      <w:rFonts w:ascii="Verdana" w:eastAsia="Times New Roman" w:hAnsi="Verdana" w:cs="Arial"/>
      <w:caps/>
      <w:noProof w:val="0"/>
      <w:sz w:val="20"/>
      <w:szCs w:val="20"/>
      <w:lang w:eastAsia="sr-Latn-RS"/>
    </w:rPr>
  </w:style>
  <w:style w:type="paragraph" w:customStyle="1" w:styleId="tabela-izvor">
    <w:name w:val="tabela-izvor"/>
    <w:basedOn w:val="Normal"/>
    <w:rsid w:val="00DF72E5"/>
    <w:pPr>
      <w:pBdr>
        <w:top w:val="single" w:sz="6" w:space="0" w:color="808080"/>
        <w:left w:val="single" w:sz="6" w:space="0" w:color="808080"/>
        <w:bottom w:val="single" w:sz="6" w:space="0" w:color="808080"/>
        <w:right w:val="single" w:sz="6" w:space="0" w:color="808080"/>
      </w:pBdr>
      <w:shd w:val="clear" w:color="auto" w:fill="D8D8D8"/>
      <w:spacing w:after="150"/>
      <w:ind w:firstLine="480"/>
      <w:contextualSpacing w:val="0"/>
    </w:pPr>
    <w:rPr>
      <w:rFonts w:ascii="Verdana" w:eastAsia="Times New Roman" w:hAnsi="Verdana" w:cs="Arial"/>
      <w:i/>
      <w:iCs/>
      <w:noProof w:val="0"/>
      <w:sz w:val="20"/>
      <w:szCs w:val="20"/>
      <w:lang w:eastAsia="sr-Latn-RS"/>
    </w:rPr>
  </w:style>
  <w:style w:type="paragraph" w:customStyle="1" w:styleId="tabela-citat">
    <w:name w:val="tabela-citat"/>
    <w:basedOn w:val="Normal"/>
    <w:rsid w:val="00DF72E5"/>
    <w:pPr>
      <w:pBdr>
        <w:top w:val="single" w:sz="6" w:space="0" w:color="808080"/>
        <w:left w:val="single" w:sz="6" w:space="0" w:color="808080"/>
        <w:bottom w:val="single" w:sz="6" w:space="0" w:color="808080"/>
        <w:right w:val="single" w:sz="6" w:space="0" w:color="808080"/>
      </w:pBdr>
      <w:shd w:val="clear" w:color="auto" w:fill="F5F5F5"/>
      <w:spacing w:after="150"/>
      <w:ind w:firstLine="480"/>
      <w:contextualSpacing w:val="0"/>
    </w:pPr>
    <w:rPr>
      <w:rFonts w:ascii="Verdana" w:eastAsia="Times New Roman" w:hAnsi="Verdana" w:cs="Arial"/>
      <w:i/>
      <w:iCs/>
      <w:noProof w:val="0"/>
      <w:sz w:val="22"/>
      <w:szCs w:val="22"/>
      <w:lang w:eastAsia="sr-Latn-RS"/>
    </w:rPr>
  </w:style>
  <w:style w:type="paragraph" w:customStyle="1" w:styleId="tabela-sa-borderom-mml">
    <w:name w:val="tabela-sa-borderom-mml"/>
    <w:basedOn w:val="Normal"/>
    <w:rsid w:val="00DF72E5"/>
    <w:pPr>
      <w:pBdr>
        <w:top w:val="single" w:sz="6" w:space="0" w:color="808080"/>
        <w:left w:val="single" w:sz="6" w:space="0" w:color="808080"/>
        <w:bottom w:val="single" w:sz="6" w:space="0" w:color="808080"/>
        <w:right w:val="single" w:sz="6" w:space="0" w:color="808080"/>
      </w:pBdr>
      <w:shd w:val="clear" w:color="auto" w:fill="F5F5F5"/>
      <w:ind w:firstLine="480"/>
      <w:contextualSpacing w:val="0"/>
    </w:pPr>
    <w:rPr>
      <w:rFonts w:ascii="Verdana" w:eastAsia="Times New Roman" w:hAnsi="Verdana" w:cs="Arial"/>
      <w:i/>
      <w:iCs/>
      <w:noProof w:val="0"/>
      <w:sz w:val="20"/>
      <w:szCs w:val="20"/>
      <w:lang w:eastAsia="sr-Latn-RS"/>
    </w:rPr>
  </w:style>
  <w:style w:type="paragraph" w:customStyle="1" w:styleId="tabela-autor">
    <w:name w:val="tabela-autor"/>
    <w:basedOn w:val="Normal"/>
    <w:rsid w:val="00DF72E5"/>
    <w:pPr>
      <w:pBdr>
        <w:top w:val="single" w:sz="6" w:space="15" w:color="808080"/>
        <w:left w:val="single" w:sz="6" w:space="0" w:color="808080"/>
        <w:bottom w:val="single" w:sz="6" w:space="15" w:color="808080"/>
        <w:right w:val="single" w:sz="6" w:space="0" w:color="808080"/>
      </w:pBdr>
      <w:shd w:val="clear" w:color="auto" w:fill="F5F5F5"/>
      <w:ind w:firstLine="480"/>
      <w:contextualSpacing w:val="0"/>
      <w:jc w:val="right"/>
    </w:pPr>
    <w:rPr>
      <w:rFonts w:ascii="Verdana" w:eastAsia="Times New Roman" w:hAnsi="Verdana" w:cs="Arial"/>
      <w:i/>
      <w:iCs/>
      <w:noProof w:val="0"/>
      <w:sz w:val="20"/>
      <w:szCs w:val="20"/>
      <w:lang w:eastAsia="sr-Latn-RS"/>
    </w:rPr>
  </w:style>
  <w:style w:type="paragraph" w:customStyle="1" w:styleId="stilovisudskapraksa">
    <w:name w:val="stilovi_sudska_praksa"/>
    <w:basedOn w:val="Normal"/>
    <w:rsid w:val="00DF72E5"/>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sentencanaslov">
    <w:name w:val="sentenca_naslov"/>
    <w:basedOn w:val="Normal"/>
    <w:rsid w:val="00DF72E5"/>
    <w:pPr>
      <w:spacing w:before="270" w:after="270"/>
      <w:ind w:firstLine="480"/>
      <w:contextualSpacing w:val="0"/>
      <w:jc w:val="center"/>
    </w:pPr>
    <w:rPr>
      <w:rFonts w:ascii="Verdana" w:eastAsia="Times New Roman" w:hAnsi="Verdana" w:cs="Arial"/>
      <w:b/>
      <w:bCs/>
      <w:noProof w:val="0"/>
      <w:sz w:val="20"/>
      <w:szCs w:val="20"/>
      <w:lang w:eastAsia="sr-Latn-RS"/>
    </w:rPr>
  </w:style>
  <w:style w:type="paragraph" w:customStyle="1" w:styleId="izvodizpresude">
    <w:name w:val="izvod_iz_presude"/>
    <w:basedOn w:val="Normal"/>
    <w:rsid w:val="00DF72E5"/>
    <w:pPr>
      <w:ind w:firstLine="480"/>
      <w:contextualSpacing w:val="0"/>
      <w:jc w:val="center"/>
    </w:pPr>
    <w:rPr>
      <w:rFonts w:ascii="Verdana" w:eastAsia="Times New Roman" w:hAnsi="Verdana" w:cs="Arial"/>
      <w:b/>
      <w:bCs/>
      <w:noProof w:val="0"/>
      <w:sz w:val="20"/>
      <w:szCs w:val="20"/>
      <w:lang w:eastAsia="sr-Latn-RS"/>
    </w:rPr>
  </w:style>
  <w:style w:type="paragraph" w:customStyle="1" w:styleId="sentenca">
    <w:name w:val="sentenca"/>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b/>
      <w:bCs/>
      <w:noProof w:val="0"/>
      <w:sz w:val="20"/>
      <w:szCs w:val="20"/>
      <w:lang w:eastAsia="sr-Latn-RS"/>
    </w:rPr>
  </w:style>
  <w:style w:type="paragraph" w:customStyle="1" w:styleId="tabela-izvod">
    <w:name w:val="tabela-izvod"/>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stiloviregistar">
    <w:name w:val="stilovi_registar"/>
    <w:basedOn w:val="Normal"/>
    <w:rsid w:val="00DF72E5"/>
    <w:pPr>
      <w:spacing w:after="150"/>
      <w:ind w:firstLine="480"/>
      <w:contextualSpacing w:val="0"/>
      <w:jc w:val="center"/>
    </w:pPr>
    <w:rPr>
      <w:rFonts w:ascii="Verdana" w:eastAsia="Times New Roman" w:hAnsi="Verdana" w:cs="Arial"/>
      <w:caps/>
      <w:noProof w:val="0"/>
      <w:sz w:val="32"/>
      <w:szCs w:val="32"/>
      <w:lang w:eastAsia="sr-Latn-RS"/>
    </w:rPr>
  </w:style>
  <w:style w:type="paragraph" w:customStyle="1" w:styleId="bold">
    <w:name w:val="bold"/>
    <w:basedOn w:val="Normal"/>
    <w:rsid w:val="00DF72E5"/>
    <w:pPr>
      <w:spacing w:before="330" w:after="120"/>
      <w:ind w:firstLine="480"/>
      <w:contextualSpacing w:val="0"/>
      <w:jc w:val="center"/>
    </w:pPr>
    <w:rPr>
      <w:rFonts w:ascii="Verdana" w:eastAsia="Times New Roman" w:hAnsi="Verdana" w:cs="Arial"/>
      <w:b/>
      <w:bCs/>
      <w:noProof w:val="0"/>
      <w:sz w:val="20"/>
      <w:szCs w:val="20"/>
      <w:lang w:eastAsia="sr-Latn-RS"/>
    </w:rPr>
  </w:style>
  <w:style w:type="paragraph" w:customStyle="1" w:styleId="italik">
    <w:name w:val="italik"/>
    <w:basedOn w:val="Normal"/>
    <w:rsid w:val="00DF72E5"/>
    <w:pPr>
      <w:spacing w:before="330" w:after="120"/>
      <w:ind w:firstLine="480"/>
      <w:contextualSpacing w:val="0"/>
      <w:jc w:val="center"/>
    </w:pPr>
    <w:rPr>
      <w:rFonts w:ascii="Verdana" w:eastAsia="Times New Roman" w:hAnsi="Verdana" w:cs="Arial"/>
      <w:i/>
      <w:iCs/>
      <w:noProof w:val="0"/>
      <w:sz w:val="20"/>
      <w:szCs w:val="20"/>
      <w:lang w:eastAsia="sr-Latn-RS"/>
    </w:rPr>
  </w:style>
  <w:style w:type="paragraph" w:customStyle="1" w:styleId="underline">
    <w:name w:val="underline"/>
    <w:basedOn w:val="Normal"/>
    <w:rsid w:val="00DF72E5"/>
    <w:pPr>
      <w:spacing w:before="330" w:after="120"/>
      <w:ind w:firstLine="480"/>
      <w:contextualSpacing w:val="0"/>
      <w:jc w:val="center"/>
    </w:pPr>
    <w:rPr>
      <w:rFonts w:ascii="Verdana" w:eastAsia="Times New Roman" w:hAnsi="Verdana" w:cs="Arial"/>
      <w:noProof w:val="0"/>
      <w:sz w:val="20"/>
      <w:szCs w:val="20"/>
      <w:u w:val="single"/>
      <w:lang w:eastAsia="sr-Latn-RS"/>
    </w:rPr>
  </w:style>
  <w:style w:type="paragraph" w:customStyle="1" w:styleId="spacija">
    <w:name w:val="spacija"/>
    <w:basedOn w:val="Normal"/>
    <w:rsid w:val="00DF72E5"/>
    <w:pPr>
      <w:spacing w:before="330" w:after="120"/>
      <w:ind w:firstLine="480"/>
      <w:contextualSpacing w:val="0"/>
      <w:jc w:val="center"/>
    </w:pPr>
    <w:rPr>
      <w:rFonts w:ascii="Verdana" w:eastAsia="Times New Roman" w:hAnsi="Verdana" w:cs="Arial"/>
      <w:noProof w:val="0"/>
      <w:spacing w:val="27"/>
      <w:sz w:val="20"/>
      <w:szCs w:val="20"/>
      <w:lang w:eastAsia="sr-Latn-RS"/>
    </w:rPr>
  </w:style>
  <w:style w:type="paragraph" w:customStyle="1" w:styleId="centar">
    <w:name w:val="centar"/>
    <w:basedOn w:val="Normal"/>
    <w:rsid w:val="00DF72E5"/>
    <w:pPr>
      <w:spacing w:before="225" w:after="120"/>
      <w:ind w:firstLine="480"/>
      <w:contextualSpacing w:val="0"/>
      <w:jc w:val="center"/>
    </w:pPr>
    <w:rPr>
      <w:rFonts w:ascii="Verdana" w:eastAsia="Times New Roman" w:hAnsi="Verdana" w:cs="Arial"/>
      <w:noProof w:val="0"/>
      <w:sz w:val="20"/>
      <w:szCs w:val="20"/>
      <w:lang w:eastAsia="sr-Latn-RS"/>
    </w:rPr>
  </w:style>
  <w:style w:type="paragraph" w:customStyle="1" w:styleId="tabela-sa-borderom">
    <w:name w:val="tabela-sa-borderom"/>
    <w:basedOn w:val="Normal"/>
    <w:rsid w:val="00DF72E5"/>
    <w:pPr>
      <w:pBdr>
        <w:top w:val="single" w:sz="6" w:space="0" w:color="000000"/>
        <w:left w:val="single" w:sz="6" w:space="0" w:color="000000"/>
        <w:bottom w:val="single" w:sz="6" w:space="0" w:color="000000"/>
        <w:right w:val="single" w:sz="6" w:space="0" w:color="000000"/>
      </w:pBdr>
      <w:spacing w:after="150"/>
      <w:ind w:firstLine="480"/>
      <w:contextualSpacing w:val="0"/>
    </w:pPr>
    <w:rPr>
      <w:rFonts w:ascii="Verdana" w:eastAsia="Times New Roman" w:hAnsi="Verdana" w:cs="Arial"/>
      <w:noProof w:val="0"/>
      <w:sz w:val="20"/>
      <w:szCs w:val="20"/>
      <w:lang w:eastAsia="sr-Latn-RS"/>
    </w:rPr>
  </w:style>
  <w:style w:type="paragraph" w:customStyle="1" w:styleId="tabela-bez-bordera">
    <w:name w:val="tabela-bez-border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dakcijskipreciscentekst">
    <w:name w:val="redakcijskipreciscentekst"/>
    <w:basedOn w:val="Normal"/>
    <w:rsid w:val="00DF72E5"/>
    <w:pPr>
      <w:pBdr>
        <w:top w:val="single" w:sz="6" w:space="2" w:color="auto"/>
        <w:left w:val="single" w:sz="6" w:space="4" w:color="auto"/>
        <w:bottom w:val="single" w:sz="6" w:space="2" w:color="auto"/>
        <w:right w:val="single" w:sz="6" w:space="4" w:color="auto"/>
      </w:pBdr>
      <w:spacing w:before="75" w:after="150"/>
      <w:ind w:right="75"/>
      <w:contextualSpacing w:val="0"/>
      <w:jc w:val="right"/>
    </w:pPr>
    <w:rPr>
      <w:rFonts w:ascii="Verdana" w:eastAsia="Times New Roman" w:hAnsi="Verdana" w:cs="Arial"/>
      <w:b/>
      <w:bCs/>
      <w:noProof w:val="0"/>
      <w:sz w:val="20"/>
      <w:szCs w:val="20"/>
      <w:lang w:eastAsia="sr-Latn-RS"/>
    </w:rPr>
  </w:style>
  <w:style w:type="paragraph" w:customStyle="1" w:styleId="nevazeciakt">
    <w:name w:val="nevazeciakt"/>
    <w:basedOn w:val="Normal"/>
    <w:rsid w:val="00DF72E5"/>
    <w:pPr>
      <w:pBdr>
        <w:top w:val="single" w:sz="6" w:space="2" w:color="auto"/>
        <w:left w:val="single" w:sz="6" w:space="4" w:color="auto"/>
        <w:bottom w:val="single" w:sz="6" w:space="2" w:color="auto"/>
        <w:right w:val="single" w:sz="6" w:space="4" w:color="auto"/>
      </w:pBdr>
      <w:spacing w:before="600" w:after="150"/>
      <w:ind w:right="75"/>
      <w:contextualSpacing w:val="0"/>
      <w:jc w:val="right"/>
    </w:pPr>
    <w:rPr>
      <w:rFonts w:ascii="Verdana" w:eastAsia="Times New Roman" w:hAnsi="Verdana" w:cs="Arial"/>
      <w:b/>
      <w:bCs/>
      <w:noProof w:val="0"/>
      <w:color w:val="FF0000"/>
      <w:sz w:val="20"/>
      <w:szCs w:val="20"/>
      <w:lang w:eastAsia="sr-Latn-RS"/>
    </w:rPr>
  </w:style>
  <w:style w:type="paragraph" w:customStyle="1" w:styleId="v2-clan-left-1">
    <w:name w:val="v2-clan-left-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
    <w:name w:val="v2-clan-left-2"/>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3">
    <w:name w:val="v2-clan-left-3"/>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4">
    <w:name w:val="v2-clan-left-4"/>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5">
    <w:name w:val="v2-clan-left-5"/>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6">
    <w:name w:val="v2-clan-left-6"/>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7">
    <w:name w:val="v2-clan-left-7"/>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8">
    <w:name w:val="v2-clan-left-8"/>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9">
    <w:name w:val="v2-clan-left-9"/>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0">
    <w:name w:val="v2-clan-left-1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underline-left">
    <w:name w:val="v2-underline-left"/>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spacija-left-1">
    <w:name w:val="v2-spacija-left-1"/>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
    <w:name w:val="v2-spacija-left-2"/>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3">
    <w:name w:val="v2-spacija-left-3"/>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italik-left-1">
    <w:name w:val="v2-italik-left-1"/>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
    <w:name w:val="v2-italik-left-2"/>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3">
    <w:name w:val="v2-italik-left-3"/>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bold-left-1">
    <w:name w:val="v2-bold-left-1"/>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
    <w:name w:val="v2-bold-left-2"/>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3">
    <w:name w:val="v2-bold-left-3"/>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clan-1">
    <w:name w:val="v2-clan-1"/>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
    <w:name w:val="v2-clan-2"/>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3">
    <w:name w:val="v2-clan-3"/>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underline">
    <w:name w:val="v2-underline"/>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spacija-1">
    <w:name w:val="v2-spacija-1"/>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
    <w:name w:val="v2-spacija-2"/>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3">
    <w:name w:val="v2-spacija-3"/>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italik-1">
    <w:name w:val="v2-italik-1"/>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
    <w:name w:val="v2-italik-2"/>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3">
    <w:name w:val="v2-italik-3"/>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bold-1">
    <w:name w:val="v2-bold-1"/>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
    <w:name w:val="v2-bold-2"/>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3">
    <w:name w:val="v2-bold-3"/>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clan-verzal-1">
    <w:name w:val="v2-clan-verzal-1"/>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
    <w:name w:val="v2-clan-verzal-2"/>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1">
    <w:name w:val="v2-italik-verzal-1"/>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
    <w:name w:val="v2-italik-verzal-2"/>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3">
    <w:name w:val="v2-italik-verzal-3"/>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bold-verzal-1">
    <w:name w:val="v2-bold-verzal-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
    <w:name w:val="v2-bold-verzal-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3">
    <w:name w:val="v2-bold-verzal-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
    <w:name w:val="v2-naslov-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
    <w:name w:val="v2-naslov-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3">
    <w:name w:val="v2-naslov-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
    <w:name w:val="v2-odluka-zakon-1"/>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
    <w:name w:val="v2-odluka-zakon-2"/>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3">
    <w:name w:val="v2-odluka-zakon-3"/>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pronadjen">
    <w:name w:val="pronadjen"/>
    <w:basedOn w:val="Normal"/>
    <w:rsid w:val="00DF72E5"/>
    <w:pPr>
      <w:shd w:val="clear" w:color="auto" w:fill="FFFF00"/>
      <w:spacing w:after="150"/>
      <w:ind w:firstLine="480"/>
      <w:contextualSpacing w:val="0"/>
    </w:pPr>
    <w:rPr>
      <w:rFonts w:ascii="Verdana" w:eastAsia="Times New Roman" w:hAnsi="Verdana" w:cs="Arial"/>
      <w:noProof w:val="0"/>
      <w:sz w:val="20"/>
      <w:szCs w:val="20"/>
      <w:lang w:eastAsia="sr-Latn-RS"/>
    </w:rPr>
  </w:style>
  <w:style w:type="paragraph" w:customStyle="1" w:styleId="eksponent">
    <w:name w:val="eksponent"/>
    <w:basedOn w:val="Normal"/>
    <w:rsid w:val="00DF72E5"/>
    <w:pPr>
      <w:spacing w:after="150"/>
      <w:ind w:firstLine="480"/>
      <w:contextualSpacing w:val="0"/>
    </w:pPr>
    <w:rPr>
      <w:rFonts w:ascii="Verdana" w:eastAsia="Times New Roman" w:hAnsi="Verdana" w:cs="Arial"/>
      <w:b/>
      <w:bCs/>
      <w:noProof w:val="0"/>
      <w:color w:val="6666CC"/>
      <w:sz w:val="20"/>
      <w:szCs w:val="20"/>
      <w:vertAlign w:val="superscript"/>
      <w:lang w:eastAsia="sr-Latn-RS"/>
    </w:rPr>
  </w:style>
  <w:style w:type="paragraph" w:customStyle="1" w:styleId="strongeksponent">
    <w:name w:val="strongeksponent"/>
    <w:basedOn w:val="Normal"/>
    <w:rsid w:val="00DF72E5"/>
    <w:pPr>
      <w:spacing w:after="150"/>
      <w:ind w:firstLine="480"/>
      <w:contextualSpacing w:val="0"/>
    </w:pPr>
    <w:rPr>
      <w:rFonts w:ascii="Verdana" w:eastAsia="Times New Roman" w:hAnsi="Verdana" w:cs="Arial"/>
      <w:b/>
      <w:bCs/>
      <w:noProof w:val="0"/>
      <w:color w:val="6666FF"/>
      <w:sz w:val="20"/>
      <w:szCs w:val="20"/>
      <w:vertAlign w:val="superscript"/>
      <w:lang w:eastAsia="sr-Latn-RS"/>
    </w:rPr>
  </w:style>
  <w:style w:type="paragraph" w:customStyle="1" w:styleId="extrastrongeksponent">
    <w:name w:val="extrastrongeksponent"/>
    <w:basedOn w:val="Normal"/>
    <w:rsid w:val="00DF72E5"/>
    <w:pPr>
      <w:spacing w:after="150"/>
      <w:ind w:firstLine="480"/>
      <w:contextualSpacing w:val="0"/>
    </w:pPr>
    <w:rPr>
      <w:rFonts w:ascii="Verdana" w:eastAsia="Times New Roman" w:hAnsi="Verdana" w:cs="Arial"/>
      <w:b/>
      <w:bCs/>
      <w:noProof w:val="0"/>
      <w:color w:val="9999FF"/>
      <w:sz w:val="20"/>
      <w:szCs w:val="20"/>
      <w:vertAlign w:val="superscript"/>
      <w:lang w:eastAsia="sr-Latn-RS"/>
    </w:rPr>
  </w:style>
  <w:style w:type="paragraph" w:customStyle="1" w:styleId="indekas">
    <w:name w:val="indekas"/>
    <w:basedOn w:val="Normal"/>
    <w:rsid w:val="00DF72E5"/>
    <w:pPr>
      <w:spacing w:after="150"/>
      <w:ind w:firstLine="480"/>
      <w:contextualSpacing w:val="0"/>
    </w:pPr>
    <w:rPr>
      <w:rFonts w:ascii="Verdana" w:eastAsia="Times New Roman" w:hAnsi="Verdana" w:cs="Arial"/>
      <w:i/>
      <w:iCs/>
      <w:noProof w:val="0"/>
      <w:color w:val="66CC66"/>
      <w:sz w:val="20"/>
      <w:szCs w:val="20"/>
      <w:vertAlign w:val="subscript"/>
      <w:lang w:eastAsia="sr-Latn-RS"/>
    </w:rPr>
  </w:style>
  <w:style w:type="paragraph" w:customStyle="1" w:styleId="strongindekas">
    <w:name w:val="strongindekas"/>
    <w:basedOn w:val="Normal"/>
    <w:rsid w:val="00DF72E5"/>
    <w:pPr>
      <w:spacing w:after="150"/>
      <w:ind w:firstLine="480"/>
      <w:contextualSpacing w:val="0"/>
    </w:pPr>
    <w:rPr>
      <w:rFonts w:ascii="Verdana" w:eastAsia="Times New Roman" w:hAnsi="Verdana" w:cs="Arial"/>
      <w:i/>
      <w:iCs/>
      <w:noProof w:val="0"/>
      <w:color w:val="66FF66"/>
      <w:sz w:val="20"/>
      <w:szCs w:val="20"/>
      <w:vertAlign w:val="subscript"/>
      <w:lang w:eastAsia="sr-Latn-RS"/>
    </w:rPr>
  </w:style>
  <w:style w:type="paragraph" w:customStyle="1" w:styleId="extrastrongindekas">
    <w:name w:val="extrastrongindekas"/>
    <w:basedOn w:val="Normal"/>
    <w:rsid w:val="00DF72E5"/>
    <w:pPr>
      <w:spacing w:after="150"/>
      <w:ind w:firstLine="480"/>
      <w:contextualSpacing w:val="0"/>
    </w:pPr>
    <w:rPr>
      <w:rFonts w:ascii="Verdana" w:eastAsia="Times New Roman" w:hAnsi="Verdana" w:cs="Arial"/>
      <w:i/>
      <w:iCs/>
      <w:noProof w:val="0"/>
      <w:color w:val="99FF99"/>
      <w:sz w:val="20"/>
      <w:szCs w:val="20"/>
      <w:vertAlign w:val="subscript"/>
      <w:lang w:eastAsia="sr-Latn-RS"/>
    </w:rPr>
  </w:style>
  <w:style w:type="paragraph" w:customStyle="1" w:styleId="subareaoutputpanel">
    <w:name w:val="subareaoutputpanel"/>
    <w:basedOn w:val="Normal"/>
    <w:rsid w:val="00DF72E5"/>
    <w:pPr>
      <w:spacing w:after="150"/>
      <w:ind w:firstLine="480"/>
      <w:contextualSpacing w:val="0"/>
    </w:pPr>
    <w:rPr>
      <w:rFonts w:ascii="Arial" w:eastAsia="Times New Roman" w:hAnsi="Arial" w:cs="Arial"/>
      <w:noProof w:val="0"/>
      <w:sz w:val="20"/>
      <w:szCs w:val="20"/>
      <w:lang w:eastAsia="sr-Latn-RS"/>
    </w:rPr>
  </w:style>
  <w:style w:type="paragraph" w:customStyle="1" w:styleId="sadrzajapstrakt">
    <w:name w:val="sadrzajapstrakt"/>
    <w:basedOn w:val="Normal"/>
    <w:rsid w:val="00DF72E5"/>
    <w:pPr>
      <w:spacing w:after="150"/>
      <w:ind w:firstLine="480"/>
      <w:contextualSpacing w:val="0"/>
    </w:pPr>
    <w:rPr>
      <w:rFonts w:ascii="Arial" w:eastAsia="Times New Roman" w:hAnsi="Arial" w:cs="Arial"/>
      <w:noProof w:val="0"/>
      <w:color w:val="484848"/>
      <w:sz w:val="20"/>
      <w:szCs w:val="20"/>
      <w:lang w:eastAsia="sr-Latn-RS"/>
    </w:rPr>
  </w:style>
  <w:style w:type="paragraph" w:customStyle="1" w:styleId="sadrzajapstrakt1">
    <w:name w:val="sadrzajapstrakt1"/>
    <w:basedOn w:val="Normal"/>
    <w:rsid w:val="00DF72E5"/>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sadrzajapstrakt2">
    <w:name w:val="sadrzajapstrakt2"/>
    <w:basedOn w:val="Normal"/>
    <w:rsid w:val="00DF72E5"/>
    <w:pPr>
      <w:spacing w:after="150"/>
      <w:ind w:firstLine="480"/>
      <w:contextualSpacing w:val="0"/>
    </w:pPr>
    <w:rPr>
      <w:rFonts w:ascii="Arial" w:eastAsia="Times New Roman" w:hAnsi="Arial" w:cs="Arial"/>
      <w:i/>
      <w:iCs/>
      <w:noProof w:val="0"/>
      <w:color w:val="484848"/>
      <w:sz w:val="20"/>
      <w:szCs w:val="20"/>
      <w:lang w:eastAsia="sr-Latn-RS"/>
    </w:rPr>
  </w:style>
  <w:style w:type="paragraph" w:customStyle="1" w:styleId="rich-mp-content-table">
    <w:name w:val="rich-mp-content-tabl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mpnl-header-cell">
    <w:name w:val="rich-mpnl-header-cell"/>
    <w:basedOn w:val="Normal"/>
    <w:rsid w:val="00DF72E5"/>
    <w:pPr>
      <w:spacing w:after="150"/>
      <w:ind w:firstLine="480"/>
      <w:contextualSpacing w:val="0"/>
    </w:pPr>
    <w:rPr>
      <w:rFonts w:ascii="Arial" w:eastAsia="Times New Roman" w:hAnsi="Arial" w:cs="Arial"/>
      <w:noProof w:val="0"/>
      <w:color w:val="FFFFFF"/>
      <w:lang w:eastAsia="sr-Latn-RS"/>
    </w:rPr>
  </w:style>
  <w:style w:type="paragraph" w:customStyle="1" w:styleId="rich-mpnl-text">
    <w:name w:val="rich-mpnl-text"/>
    <w:basedOn w:val="Normal"/>
    <w:rsid w:val="00DF72E5"/>
    <w:pPr>
      <w:spacing w:after="150"/>
      <w:ind w:firstLine="480"/>
      <w:contextualSpacing w:val="0"/>
    </w:pPr>
    <w:rPr>
      <w:rFonts w:ascii="Arial" w:eastAsia="Times New Roman" w:hAnsi="Arial" w:cs="Arial"/>
      <w:b/>
      <w:bCs/>
      <w:noProof w:val="0"/>
      <w:color w:val="000000"/>
      <w:sz w:val="20"/>
      <w:szCs w:val="20"/>
      <w:lang w:eastAsia="sr-Latn-RS"/>
    </w:rPr>
  </w:style>
  <w:style w:type="paragraph" w:customStyle="1" w:styleId="rich-mpnl-header">
    <w:name w:val="rich-mpnl-header"/>
    <w:basedOn w:val="Normal"/>
    <w:rsid w:val="00DF72E5"/>
    <w:pPr>
      <w:shd w:val="clear" w:color="auto" w:fill="008000"/>
      <w:spacing w:after="150" w:line="450" w:lineRule="atLeast"/>
      <w:ind w:firstLine="480"/>
      <w:contextualSpacing w:val="0"/>
      <w:textAlignment w:val="center"/>
    </w:pPr>
    <w:rPr>
      <w:rFonts w:ascii="Arial" w:eastAsia="Times New Roman" w:hAnsi="Arial" w:cs="Arial"/>
      <w:noProof w:val="0"/>
      <w:color w:val="FFFFFF"/>
      <w:sz w:val="20"/>
      <w:szCs w:val="20"/>
      <w:lang w:eastAsia="sr-Latn-RS"/>
    </w:rPr>
  </w:style>
  <w:style w:type="paragraph" w:customStyle="1" w:styleId="rich-mpnl-body">
    <w:name w:val="rich-mpnl-body"/>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noborder">
    <w:name w:val="noborder"/>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earchbar">
    <w:name w:val="searchbar"/>
    <w:basedOn w:val="Normal"/>
    <w:rsid w:val="00DF72E5"/>
    <w:pPr>
      <w:spacing w:after="150"/>
      <w:ind w:firstLine="480"/>
      <w:contextualSpacing w:val="0"/>
      <w:jc w:val="right"/>
      <w:textAlignment w:val="center"/>
    </w:pPr>
    <w:rPr>
      <w:rFonts w:ascii="Verdana" w:eastAsia="Times New Roman" w:hAnsi="Verdana" w:cs="Arial"/>
      <w:noProof w:val="0"/>
      <w:sz w:val="20"/>
      <w:szCs w:val="20"/>
      <w:lang w:eastAsia="sr-Latn-RS"/>
    </w:rPr>
  </w:style>
  <w:style w:type="paragraph" w:customStyle="1" w:styleId="rich-table-row">
    <w:name w:val="rich-table-row"/>
    <w:basedOn w:val="Normal"/>
    <w:rsid w:val="00DF72E5"/>
    <w:pPr>
      <w:spacing w:after="150"/>
      <w:ind w:firstLine="480"/>
      <w:contextualSpacing w:val="0"/>
    </w:pPr>
    <w:rPr>
      <w:rFonts w:ascii="Verdana" w:eastAsia="Times New Roman" w:hAnsi="Verdana" w:cs="Arial"/>
      <w:noProof w:val="0"/>
      <w:color w:val="0000FF"/>
      <w:sz w:val="20"/>
      <w:szCs w:val="20"/>
      <w:lang w:eastAsia="sr-Latn-RS"/>
    </w:rPr>
  </w:style>
  <w:style w:type="paragraph" w:customStyle="1" w:styleId="prilozitabcolumn">
    <w:name w:val="prilozitabcolumn"/>
    <w:basedOn w:val="Normal"/>
    <w:rsid w:val="00DF72E5"/>
    <w:pPr>
      <w:spacing w:after="150"/>
      <w:ind w:firstLine="480"/>
      <w:contextualSpacing w:val="0"/>
    </w:pPr>
    <w:rPr>
      <w:rFonts w:ascii="Arial" w:eastAsia="Times New Roman" w:hAnsi="Arial" w:cs="Arial"/>
      <w:noProof w:val="0"/>
      <w:color w:val="000000"/>
      <w:sz w:val="17"/>
      <w:szCs w:val="17"/>
      <w:lang w:eastAsia="sr-Latn-RS"/>
    </w:rPr>
  </w:style>
  <w:style w:type="paragraph" w:customStyle="1" w:styleId="rich-table-cell">
    <w:name w:val="rich-table-cell"/>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mediacontent">
    <w:name w:val="mediacontent"/>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content">
    <w:name w:val="prilozicontent"/>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prilozitab">
    <w:name w:val="prilozitab"/>
    <w:basedOn w:val="Normal"/>
    <w:rsid w:val="00DF72E5"/>
    <w:pPr>
      <w:pBdr>
        <w:bottom w:val="single" w:sz="6" w:space="0" w:color="C0C0C0"/>
      </w:pBdr>
      <w:shd w:val="clear" w:color="auto" w:fill="FFFFFF"/>
      <w:spacing w:after="150"/>
      <w:ind w:firstLine="480"/>
      <w:contextualSpacing w:val="0"/>
    </w:pPr>
    <w:rPr>
      <w:rFonts w:ascii="Arial" w:eastAsia="Times New Roman" w:hAnsi="Arial" w:cs="Arial"/>
      <w:noProof w:val="0"/>
      <w:color w:val="000000"/>
      <w:sz w:val="17"/>
      <w:szCs w:val="17"/>
      <w:lang w:eastAsia="sr-Latn-RS"/>
    </w:rPr>
  </w:style>
  <w:style w:type="paragraph" w:customStyle="1" w:styleId="sadrzajnaslov">
    <w:name w:val="sadrzajnaslov"/>
    <w:basedOn w:val="Normal"/>
    <w:rsid w:val="00DF72E5"/>
    <w:pPr>
      <w:pBdr>
        <w:bottom w:val="single" w:sz="6" w:space="4" w:color="C9CBCD"/>
      </w:pBdr>
      <w:spacing w:after="150"/>
      <w:ind w:left="150" w:firstLine="480"/>
      <w:contextualSpacing w:val="0"/>
    </w:pPr>
    <w:rPr>
      <w:rFonts w:ascii="Arial" w:eastAsia="Times New Roman" w:hAnsi="Arial" w:cs="Arial"/>
      <w:noProof w:val="0"/>
      <w:color w:val="1C9500"/>
      <w:sz w:val="30"/>
      <w:szCs w:val="30"/>
      <w:lang w:eastAsia="sr-Latn-RS"/>
    </w:rPr>
  </w:style>
  <w:style w:type="paragraph" w:customStyle="1" w:styleId="sadrzajlista">
    <w:name w:val="sadrzajlist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panel-body">
    <w:name w:val="rich-panel-body"/>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panel">
    <w:name w:val="rich-panel"/>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page">
    <w:name w:val="rich-pa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rubrikemenustil">
    <w:name w:val="sadrzajrubrikemenustil"/>
    <w:basedOn w:val="Normal"/>
    <w:rsid w:val="00DF72E5"/>
    <w:pPr>
      <w:shd w:val="clear" w:color="auto" w:fill="FFFFFF"/>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rubrikemenustildiv">
    <w:name w:val="sadrzajrubrikemenustildiv"/>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displaynone">
    <w:name w:val="displaynone"/>
    <w:basedOn w:val="Normal"/>
    <w:rsid w:val="00DF72E5"/>
    <w:pPr>
      <w:ind w:firstLine="480"/>
      <w:contextualSpacing w:val="0"/>
    </w:pPr>
    <w:rPr>
      <w:rFonts w:ascii="Verdana" w:eastAsia="Times New Roman" w:hAnsi="Verdana" w:cs="Arial"/>
      <w:noProof w:val="0"/>
      <w:vanish/>
      <w:sz w:val="20"/>
      <w:szCs w:val="20"/>
      <w:lang w:eastAsia="sr-Latn-RS"/>
    </w:rPr>
  </w:style>
  <w:style w:type="paragraph" w:customStyle="1" w:styleId="sadrzajtable">
    <w:name w:val="sadrzajtable"/>
    <w:basedOn w:val="Normal"/>
    <w:rsid w:val="00DF72E5"/>
    <w:pPr>
      <w:spacing w:after="150"/>
      <w:ind w:firstLine="480"/>
      <w:contextualSpacing w:val="0"/>
    </w:pPr>
    <w:rPr>
      <w:rFonts w:ascii="Verdana" w:eastAsia="Times New Roman" w:hAnsi="Verdana" w:cs="Arial"/>
      <w:noProof w:val="0"/>
      <w:lang w:eastAsia="sr-Latn-RS"/>
    </w:rPr>
  </w:style>
  <w:style w:type="paragraph" w:customStyle="1" w:styleId="sadrzajnadnaslov">
    <w:name w:val="sadrzajnadnaslov"/>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1">
    <w:name w:val="sadrzajnadnaslov1"/>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nadnaslov2">
    <w:name w:val="sadrzajnadnaslov2"/>
    <w:basedOn w:val="Normal"/>
    <w:rsid w:val="00DF72E5"/>
    <w:pPr>
      <w:spacing w:after="150"/>
      <w:ind w:firstLine="480"/>
      <w:contextualSpacing w:val="0"/>
    </w:pPr>
    <w:rPr>
      <w:rFonts w:ascii="Arial" w:eastAsia="Times New Roman" w:hAnsi="Arial" w:cs="Arial"/>
      <w:noProof w:val="0"/>
      <w:color w:val="000000"/>
      <w:lang w:eastAsia="sr-Latn-RS"/>
    </w:rPr>
  </w:style>
  <w:style w:type="paragraph" w:customStyle="1" w:styleId="sadrzajpodnaslov">
    <w:name w:val="sadrzajpodnaslov"/>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1">
    <w:name w:val="sadrzajpodnaslov1"/>
    <w:basedOn w:val="Normal"/>
    <w:rsid w:val="00DF72E5"/>
    <w:pPr>
      <w:spacing w:after="150"/>
      <w:ind w:firstLine="480"/>
      <w:contextualSpacing w:val="0"/>
    </w:pPr>
    <w:rPr>
      <w:rFonts w:ascii="Arial" w:eastAsia="Times New Roman" w:hAnsi="Arial" w:cs="Arial"/>
      <w:i/>
      <w:iCs/>
      <w:noProof w:val="0"/>
      <w:color w:val="484848"/>
      <w:sz w:val="15"/>
      <w:szCs w:val="15"/>
      <w:lang w:eastAsia="sr-Latn-RS"/>
    </w:rPr>
  </w:style>
  <w:style w:type="paragraph" w:customStyle="1" w:styleId="sadrzajpodnaslov2">
    <w:name w:val="sadrzajpodnaslov2"/>
    <w:basedOn w:val="Normal"/>
    <w:rsid w:val="00DF72E5"/>
    <w:pPr>
      <w:spacing w:after="150"/>
      <w:ind w:firstLine="480"/>
      <w:contextualSpacing w:val="0"/>
    </w:pPr>
    <w:rPr>
      <w:rFonts w:ascii="Arial" w:eastAsia="Times New Roman" w:hAnsi="Arial" w:cs="Arial"/>
      <w:noProof w:val="0"/>
      <w:color w:val="484848"/>
      <w:sz w:val="17"/>
      <w:szCs w:val="17"/>
      <w:lang w:eastAsia="sr-Latn-RS"/>
    </w:rPr>
  </w:style>
  <w:style w:type="paragraph" w:customStyle="1" w:styleId="sadrzajdiv">
    <w:name w:val="sadrzajdiv"/>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div1">
    <w:name w:val="sadrzajdiv1"/>
    <w:basedOn w:val="Normal"/>
    <w:rsid w:val="00DF72E5"/>
    <w:pPr>
      <w:shd w:val="clear" w:color="auto" w:fill="F4F6F9"/>
      <w:spacing w:after="150"/>
      <w:ind w:firstLine="480"/>
      <w:contextualSpacing w:val="0"/>
    </w:pPr>
    <w:rPr>
      <w:rFonts w:ascii="Verdana" w:eastAsia="Times New Roman" w:hAnsi="Verdana" w:cs="Arial"/>
      <w:noProof w:val="0"/>
      <w:sz w:val="20"/>
      <w:szCs w:val="20"/>
      <w:lang w:eastAsia="sr-Latn-RS"/>
    </w:rPr>
  </w:style>
  <w:style w:type="paragraph" w:customStyle="1" w:styleId="sadrzajdiv2">
    <w:name w:val="sadrzajdiv2"/>
    <w:basedOn w:val="Normal"/>
    <w:rsid w:val="00DF72E5"/>
    <w:pP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sadrzajhier">
    <w:name w:val="sadrzajhier"/>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1">
    <w:name w:val="sadrzajhier1"/>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hier2">
    <w:name w:val="sadrzajhier2"/>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subarea">
    <w:name w:val="sadrzajsubarea"/>
    <w:basedOn w:val="Normal"/>
    <w:rsid w:val="00DF72E5"/>
    <w:pPr>
      <w:shd w:val="clear" w:color="auto" w:fill="F4F6F9"/>
      <w:spacing w:after="150"/>
      <w:ind w:firstLine="480"/>
      <w:contextualSpacing w:val="0"/>
    </w:pPr>
    <w:rPr>
      <w:rFonts w:ascii="Arial" w:eastAsia="Times New Roman" w:hAnsi="Arial" w:cs="Arial"/>
      <w:b/>
      <w:bCs/>
      <w:caps/>
      <w:noProof w:val="0"/>
      <w:color w:val="000000"/>
      <w:lang w:eastAsia="sr-Latn-RS"/>
    </w:rPr>
  </w:style>
  <w:style w:type="paragraph" w:customStyle="1" w:styleId="sadrzajlink">
    <w:name w:val="sadrzajlink"/>
    <w:basedOn w:val="Normal"/>
    <w:rsid w:val="00DF72E5"/>
    <w:pPr>
      <w:spacing w:after="150"/>
      <w:ind w:firstLine="480"/>
      <w:contextualSpacing w:val="0"/>
    </w:pPr>
    <w:rPr>
      <w:rFonts w:ascii="Arial" w:eastAsia="Times New Roman" w:hAnsi="Arial" w:cs="Arial"/>
      <w:b/>
      <w:bCs/>
      <w:noProof w:val="0"/>
      <w:color w:val="007000"/>
      <w:u w:val="single"/>
      <w:lang w:eastAsia="sr-Latn-RS"/>
    </w:rPr>
  </w:style>
  <w:style w:type="paragraph" w:customStyle="1" w:styleId="sadrzajmiddle">
    <w:name w:val="sadrzajmiddl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middle1">
    <w:name w:val="sadrzajmiddle1"/>
    <w:basedOn w:val="Normal"/>
    <w:rsid w:val="00DF72E5"/>
    <w:pPr>
      <w:spacing w:after="150"/>
      <w:ind w:firstLine="480"/>
      <w:contextualSpacing w:val="0"/>
    </w:pPr>
    <w:rPr>
      <w:rFonts w:ascii="Arial" w:eastAsia="Times New Roman" w:hAnsi="Arial" w:cs="Arial"/>
      <w:b/>
      <w:bCs/>
      <w:noProof w:val="0"/>
      <w:sz w:val="20"/>
      <w:szCs w:val="20"/>
      <w:lang w:eastAsia="sr-Latn-RS"/>
    </w:rPr>
  </w:style>
  <w:style w:type="paragraph" w:customStyle="1" w:styleId="sadrzajmiddle2">
    <w:name w:val="sadrzajmiddle2"/>
    <w:basedOn w:val="Normal"/>
    <w:rsid w:val="00DF72E5"/>
    <w:pPr>
      <w:spacing w:after="150"/>
      <w:ind w:firstLine="480"/>
      <w:contextualSpacing w:val="0"/>
    </w:pPr>
    <w:rPr>
      <w:rFonts w:ascii="Arial" w:eastAsia="Times New Roman" w:hAnsi="Arial" w:cs="Arial"/>
      <w:noProof w:val="0"/>
      <w:sz w:val="20"/>
      <w:szCs w:val="20"/>
      <w:lang w:eastAsia="sr-Latn-RS"/>
    </w:rPr>
  </w:style>
  <w:style w:type="paragraph" w:customStyle="1" w:styleId="sadrzajright">
    <w:name w:val="sadrzajright"/>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sadrzajright1">
    <w:name w:val="sadrzajright1"/>
    <w:basedOn w:val="Normal"/>
    <w:rsid w:val="00DF72E5"/>
    <w:pPr>
      <w:spacing w:after="150"/>
      <w:ind w:firstLine="480"/>
      <w:contextualSpacing w:val="0"/>
    </w:pPr>
    <w:rPr>
      <w:rFonts w:ascii="Arial" w:eastAsia="Times New Roman" w:hAnsi="Arial" w:cs="Arial"/>
      <w:i/>
      <w:iCs/>
      <w:noProof w:val="0"/>
      <w:sz w:val="20"/>
      <w:szCs w:val="20"/>
      <w:lang w:eastAsia="sr-Latn-RS"/>
    </w:rPr>
  </w:style>
  <w:style w:type="paragraph" w:customStyle="1" w:styleId="sadrzajright2">
    <w:name w:val="sadrzajright2"/>
    <w:basedOn w:val="Normal"/>
    <w:rsid w:val="00DF72E5"/>
    <w:pPr>
      <w:spacing w:after="150"/>
      <w:ind w:firstLine="480"/>
      <w:contextualSpacing w:val="0"/>
    </w:pPr>
    <w:rPr>
      <w:rFonts w:ascii="Arial" w:eastAsia="Times New Roman" w:hAnsi="Arial" w:cs="Arial"/>
      <w:i/>
      <w:iCs/>
      <w:noProof w:val="0"/>
      <w:sz w:val="20"/>
      <w:szCs w:val="20"/>
      <w:lang w:eastAsia="sr-Latn-RS"/>
    </w:rPr>
  </w:style>
  <w:style w:type="paragraph" w:customStyle="1" w:styleId="rich-mpnl-shadow">
    <w:name w:val="rich-mpnl-shadow"/>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ich-mpnl-content">
    <w:name w:val="rich-mpnl-content"/>
    <w:basedOn w:val="Normal"/>
    <w:rsid w:val="00DF72E5"/>
    <w:pPr>
      <w:pBdr>
        <w:top w:val="single" w:sz="6" w:space="1" w:color="auto"/>
        <w:left w:val="single" w:sz="6" w:space="1" w:color="auto"/>
        <w:bottom w:val="single" w:sz="6" w:space="1" w:color="auto"/>
        <w:right w:val="single" w:sz="6" w:space="1" w:color="auto"/>
      </w:pBdr>
      <w:spacing w:after="150"/>
      <w:ind w:firstLine="480"/>
      <w:contextualSpacing w:val="0"/>
    </w:pPr>
    <w:rPr>
      <w:rFonts w:ascii="Verdana" w:eastAsia="Times New Roman" w:hAnsi="Verdana" w:cs="Arial"/>
      <w:noProof w:val="0"/>
      <w:sz w:val="20"/>
      <w:szCs w:val="20"/>
      <w:lang w:eastAsia="sr-Latn-RS"/>
    </w:rPr>
  </w:style>
  <w:style w:type="paragraph" w:customStyle="1" w:styleId="rich-table">
    <w:name w:val="rich-table"/>
    <w:basedOn w:val="Normal"/>
    <w:rsid w:val="00DF72E5"/>
    <w:pPr>
      <w:pBdr>
        <w:top w:val="single" w:sz="6" w:space="0" w:color="C0C0C0"/>
        <w:left w:val="single" w:sz="6" w:space="0" w:color="C0C0C0"/>
      </w:pBdr>
      <w:shd w:val="clear" w:color="auto" w:fill="FFFFFF"/>
      <w:spacing w:after="150"/>
      <w:ind w:firstLine="480"/>
      <w:contextualSpacing w:val="0"/>
    </w:pPr>
    <w:rPr>
      <w:rFonts w:ascii="Verdana" w:eastAsia="Times New Roman" w:hAnsi="Verdana" w:cs="Arial"/>
      <w:noProof w:val="0"/>
      <w:sz w:val="20"/>
      <w:szCs w:val="20"/>
      <w:lang w:eastAsia="sr-Latn-RS"/>
    </w:rPr>
  </w:style>
  <w:style w:type="paragraph" w:customStyle="1" w:styleId="rich-table-thead">
    <w:name w:val="rich-table-thead"/>
    <w:basedOn w:val="Normal"/>
    <w:rsid w:val="00DF72E5"/>
    <w:pPr>
      <w:pBdr>
        <w:bottom w:val="single" w:sz="6" w:space="0" w:color="C0C0C0"/>
      </w:pBdr>
      <w:spacing w:after="150"/>
      <w:ind w:firstLine="480"/>
      <w:contextualSpacing w:val="0"/>
    </w:pPr>
    <w:rPr>
      <w:rFonts w:ascii="Verdana" w:eastAsia="Times New Roman" w:hAnsi="Verdana" w:cs="Arial"/>
      <w:noProof w:val="0"/>
      <w:sz w:val="20"/>
      <w:szCs w:val="20"/>
      <w:lang w:eastAsia="sr-Latn-RS"/>
    </w:rPr>
  </w:style>
  <w:style w:type="paragraph" w:customStyle="1" w:styleId="rich-table-header">
    <w:name w:val="rich-table-header"/>
    <w:basedOn w:val="Normal"/>
    <w:rsid w:val="00DF72E5"/>
    <w:pPr>
      <w:shd w:val="clear" w:color="auto" w:fill="005000"/>
      <w:spacing w:after="150"/>
      <w:ind w:firstLine="480"/>
      <w:contextualSpacing w:val="0"/>
    </w:pPr>
    <w:rPr>
      <w:rFonts w:ascii="Verdana" w:eastAsia="Times New Roman" w:hAnsi="Verdana" w:cs="Arial"/>
      <w:noProof w:val="0"/>
      <w:sz w:val="20"/>
      <w:szCs w:val="20"/>
      <w:lang w:eastAsia="sr-Latn-RS"/>
    </w:rPr>
  </w:style>
  <w:style w:type="paragraph" w:customStyle="1" w:styleId="rich-table-headercell">
    <w:name w:val="rich-table-headercell"/>
    <w:basedOn w:val="Normal"/>
    <w:rsid w:val="00DF72E5"/>
    <w:pPr>
      <w:pBdr>
        <w:bottom w:val="single" w:sz="6" w:space="3" w:color="C0C0C0"/>
        <w:right w:val="single" w:sz="6" w:space="3" w:color="C0C0C0"/>
      </w:pBdr>
      <w:spacing w:after="150"/>
      <w:ind w:firstLine="480"/>
      <w:contextualSpacing w:val="0"/>
      <w:jc w:val="center"/>
    </w:pPr>
    <w:rPr>
      <w:rFonts w:ascii="Arial" w:eastAsia="Times New Roman" w:hAnsi="Arial" w:cs="Arial"/>
      <w:b/>
      <w:bCs/>
      <w:noProof w:val="0"/>
      <w:color w:val="FFFFFF"/>
      <w:sz w:val="17"/>
      <w:szCs w:val="17"/>
      <w:lang w:eastAsia="sr-Latn-RS"/>
    </w:rPr>
  </w:style>
  <w:style w:type="paragraph" w:customStyle="1" w:styleId="prilozitabheader">
    <w:name w:val="prilozitabheader"/>
    <w:basedOn w:val="Normal"/>
    <w:rsid w:val="00DF72E5"/>
    <w:pPr>
      <w:shd w:val="clear" w:color="auto" w:fill="EEEEEE"/>
      <w:spacing w:after="150"/>
      <w:ind w:firstLine="480"/>
      <w:contextualSpacing w:val="0"/>
    </w:pPr>
    <w:rPr>
      <w:rFonts w:ascii="Arial" w:eastAsia="Times New Roman" w:hAnsi="Arial" w:cs="Arial"/>
      <w:b/>
      <w:bCs/>
      <w:noProof w:val="0"/>
      <w:color w:val="000000"/>
      <w:spacing w:val="15"/>
      <w:sz w:val="17"/>
      <w:szCs w:val="17"/>
      <w:lang w:eastAsia="sr-Latn-RS"/>
    </w:rPr>
  </w:style>
  <w:style w:type="paragraph" w:customStyle="1" w:styleId="prilozilink">
    <w:name w:val="prilozilink"/>
    <w:basedOn w:val="Normal"/>
    <w:rsid w:val="00DF72E5"/>
    <w:pPr>
      <w:spacing w:after="150"/>
      <w:ind w:firstLine="480"/>
      <w:contextualSpacing w:val="0"/>
    </w:pPr>
    <w:rPr>
      <w:rFonts w:ascii="Verdana" w:eastAsia="Times New Roman" w:hAnsi="Verdana" w:cs="Arial"/>
      <w:noProof w:val="0"/>
      <w:color w:val="000000"/>
      <w:sz w:val="20"/>
      <w:szCs w:val="20"/>
      <w:lang w:eastAsia="sr-Latn-RS"/>
    </w:rPr>
  </w:style>
  <w:style w:type="paragraph" w:customStyle="1" w:styleId="sadrzajright3">
    <w:name w:val="sadrzajright3"/>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sadrzajhier3">
    <w:name w:val="sadrzajhier3"/>
    <w:basedOn w:val="Normal"/>
    <w:rsid w:val="00DF72E5"/>
    <w:pPr>
      <w:spacing w:after="150"/>
      <w:ind w:firstLine="480"/>
      <w:contextualSpacing w:val="0"/>
      <w:textAlignment w:val="top"/>
    </w:pPr>
    <w:rPr>
      <w:rFonts w:ascii="Verdana" w:eastAsia="Times New Roman" w:hAnsi="Verdana" w:cs="Arial"/>
      <w:noProof w:val="0"/>
      <w:sz w:val="20"/>
      <w:szCs w:val="20"/>
      <w:lang w:eastAsia="sr-Latn-RS"/>
    </w:rPr>
  </w:style>
  <w:style w:type="paragraph" w:customStyle="1" w:styleId="sadrzajapstrakt3">
    <w:name w:val="sadrzajapstrakt3"/>
    <w:basedOn w:val="Normal"/>
    <w:rsid w:val="00DF72E5"/>
    <w:pPr>
      <w:spacing w:after="150"/>
      <w:ind w:firstLine="480"/>
      <w:contextualSpacing w:val="0"/>
    </w:pPr>
    <w:rPr>
      <w:rFonts w:ascii="Arial" w:eastAsia="Times New Roman" w:hAnsi="Arial" w:cs="Arial"/>
      <w:i/>
      <w:iCs/>
      <w:noProof w:val="0"/>
      <w:color w:val="484848"/>
      <w:sz w:val="17"/>
      <w:szCs w:val="17"/>
      <w:lang w:eastAsia="sr-Latn-RS"/>
    </w:rPr>
  </w:style>
  <w:style w:type="paragraph" w:customStyle="1" w:styleId="v2-odluka-zakon-4">
    <w:name w:val="v2-odluka-zakon-4"/>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5">
    <w:name w:val="v2-odluka-zakon-5"/>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6">
    <w:name w:val="v2-odluka-zakon-6"/>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7">
    <w:name w:val="v2-odluka-zakon-7"/>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8">
    <w:name w:val="v2-odluka-zakon-8"/>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9">
    <w:name w:val="v2-odluka-zakon-9"/>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0">
    <w:name w:val="v2-odluka-zakon-10"/>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1">
    <w:name w:val="v2-odluka-zakon-11"/>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2">
    <w:name w:val="v2-odluka-zakon-12"/>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3">
    <w:name w:val="v2-odluka-zakon-13"/>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4">
    <w:name w:val="v2-odluka-zakon-14"/>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5">
    <w:name w:val="v2-odluka-zakon-15"/>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6">
    <w:name w:val="v2-odluka-zakon-16"/>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7">
    <w:name w:val="v2-odluka-zakon-17"/>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8">
    <w:name w:val="v2-odluka-zakon-18"/>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19">
    <w:name w:val="v2-odluka-zakon-19"/>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odluka-zakon-20">
    <w:name w:val="v2-odluka-zakon-20"/>
    <w:basedOn w:val="Normal"/>
    <w:rsid w:val="00DF72E5"/>
    <w:pPr>
      <w:spacing w:before="360"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4">
    <w:name w:val="v2-naslov-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5">
    <w:name w:val="v2-naslov-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6">
    <w:name w:val="v2-naslov-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7">
    <w:name w:val="v2-naslov-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8">
    <w:name w:val="v2-naslov-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9">
    <w:name w:val="v2-naslov-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0">
    <w:name w:val="v2-naslov-1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1">
    <w:name w:val="v2-naslov-1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2">
    <w:name w:val="v2-naslov-1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3">
    <w:name w:val="v2-naslov-1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4">
    <w:name w:val="v2-naslov-1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5">
    <w:name w:val="v2-naslov-1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6">
    <w:name w:val="v2-naslov-1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7">
    <w:name w:val="v2-naslov-1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8">
    <w:name w:val="v2-naslov-1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19">
    <w:name w:val="v2-naslov-1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naslov-20">
    <w:name w:val="v2-naslov-2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4">
    <w:name w:val="v2-bold-verzal-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5">
    <w:name w:val="v2-bold-verzal-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6">
    <w:name w:val="v2-bold-verzal-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7">
    <w:name w:val="v2-bold-verzal-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8">
    <w:name w:val="v2-bold-verzal-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9">
    <w:name w:val="v2-bold-verzal-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0">
    <w:name w:val="v2-bold-verzal-1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1">
    <w:name w:val="v2-bold-verzal-11"/>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2">
    <w:name w:val="v2-bold-verzal-12"/>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3">
    <w:name w:val="v2-bold-verzal-13"/>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4">
    <w:name w:val="v2-bold-verzal-14"/>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5">
    <w:name w:val="v2-bold-verzal-15"/>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6">
    <w:name w:val="v2-bold-verzal-16"/>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7">
    <w:name w:val="v2-bold-verzal-17"/>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8">
    <w:name w:val="v2-bold-verzal-18"/>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19">
    <w:name w:val="v2-bold-verzal-19"/>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bold-verzal-20">
    <w:name w:val="v2-bold-verzal-20"/>
    <w:basedOn w:val="Normal"/>
    <w:rsid w:val="00DF72E5"/>
    <w:pPr>
      <w:spacing w:after="150"/>
      <w:ind w:firstLine="480"/>
      <w:contextualSpacing w:val="0"/>
      <w:jc w:val="center"/>
    </w:pPr>
    <w:rPr>
      <w:rFonts w:ascii="Verdana" w:eastAsia="Times New Roman" w:hAnsi="Verdana" w:cs="Arial"/>
      <w:b/>
      <w:bCs/>
      <w:caps/>
      <w:noProof w:val="0"/>
      <w:sz w:val="20"/>
      <w:szCs w:val="20"/>
      <w:u w:val="single"/>
      <w:lang w:eastAsia="sr-Latn-RS"/>
    </w:rPr>
  </w:style>
  <w:style w:type="paragraph" w:customStyle="1" w:styleId="v2-italik-verzal-4">
    <w:name w:val="v2-italik-verzal-4"/>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5">
    <w:name w:val="v2-italik-verzal-5"/>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6">
    <w:name w:val="v2-italik-verzal-6"/>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7">
    <w:name w:val="v2-italik-verzal-7"/>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8">
    <w:name w:val="v2-italik-verzal-8"/>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9">
    <w:name w:val="v2-italik-verzal-9"/>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0">
    <w:name w:val="v2-italik-verzal-10"/>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1">
    <w:name w:val="v2-italik-verzal-11"/>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2">
    <w:name w:val="v2-italik-verzal-12"/>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3">
    <w:name w:val="v2-italik-verzal-13"/>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4">
    <w:name w:val="v2-italik-verzal-14"/>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5">
    <w:name w:val="v2-italik-verzal-15"/>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6">
    <w:name w:val="v2-italik-verzal-16"/>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7">
    <w:name w:val="v2-italik-verzal-17"/>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8">
    <w:name w:val="v2-italik-verzal-18"/>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19">
    <w:name w:val="v2-italik-verzal-19"/>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italik-verzal-20">
    <w:name w:val="v2-italik-verzal-20"/>
    <w:basedOn w:val="Normal"/>
    <w:rsid w:val="00DF72E5"/>
    <w:pPr>
      <w:spacing w:after="150"/>
      <w:ind w:firstLine="480"/>
      <w:contextualSpacing w:val="0"/>
      <w:jc w:val="center"/>
    </w:pPr>
    <w:rPr>
      <w:rFonts w:ascii="Verdana" w:eastAsia="Times New Roman" w:hAnsi="Verdana" w:cs="Arial"/>
      <w:b/>
      <w:bCs/>
      <w:i/>
      <w:iCs/>
      <w:caps/>
      <w:noProof w:val="0"/>
      <w:sz w:val="20"/>
      <w:szCs w:val="20"/>
      <w:lang w:eastAsia="sr-Latn-RS"/>
    </w:rPr>
  </w:style>
  <w:style w:type="paragraph" w:customStyle="1" w:styleId="v2-clan-verzal-3">
    <w:name w:val="v2-clan-verzal-3"/>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4">
    <w:name w:val="v2-clan-verzal-4"/>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5">
    <w:name w:val="v2-clan-verzal-5"/>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6">
    <w:name w:val="v2-clan-verzal-6"/>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7">
    <w:name w:val="v2-clan-verzal-7"/>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8">
    <w:name w:val="v2-clan-verzal-8"/>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9">
    <w:name w:val="v2-clan-verzal-9"/>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0">
    <w:name w:val="v2-clan-verzal-10"/>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1">
    <w:name w:val="v2-clan-verzal-11"/>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2">
    <w:name w:val="v2-clan-verzal-12"/>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3">
    <w:name w:val="v2-clan-verzal-13"/>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4">
    <w:name w:val="v2-clan-verzal-14"/>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5">
    <w:name w:val="v2-clan-verzal-15"/>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6">
    <w:name w:val="v2-clan-verzal-16"/>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7">
    <w:name w:val="v2-clan-verzal-17"/>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8">
    <w:name w:val="v2-clan-verzal-18"/>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19">
    <w:name w:val="v2-clan-verzal-19"/>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clan-verzal-20">
    <w:name w:val="v2-clan-verzal-20"/>
    <w:basedOn w:val="Normal"/>
    <w:rsid w:val="00DF72E5"/>
    <w:pPr>
      <w:spacing w:before="42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4">
    <w:name w:val="v2-bold-4"/>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5">
    <w:name w:val="v2-bold-5"/>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6">
    <w:name w:val="v2-bold-6"/>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7">
    <w:name w:val="v2-bold-7"/>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8">
    <w:name w:val="v2-bold-8"/>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9">
    <w:name w:val="v2-bold-9"/>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0">
    <w:name w:val="v2-bold-10"/>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1">
    <w:name w:val="v2-bold-11"/>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2">
    <w:name w:val="v2-bold-12"/>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3">
    <w:name w:val="v2-bold-13"/>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4">
    <w:name w:val="v2-bold-14"/>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5">
    <w:name w:val="v2-bold-15"/>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6">
    <w:name w:val="v2-bold-16"/>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7">
    <w:name w:val="v2-bold-17"/>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8">
    <w:name w:val="v2-bold-18"/>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19">
    <w:name w:val="v2-bold-19"/>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bold-20">
    <w:name w:val="v2-bold-20"/>
    <w:basedOn w:val="Normal"/>
    <w:rsid w:val="00DF72E5"/>
    <w:pPr>
      <w:spacing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v2-italik-4">
    <w:name w:val="v2-italik-4"/>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5">
    <w:name w:val="v2-italik-5"/>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6">
    <w:name w:val="v2-italik-6"/>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7">
    <w:name w:val="v2-italik-7"/>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8">
    <w:name w:val="v2-italik-8"/>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9">
    <w:name w:val="v2-italik-9"/>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0">
    <w:name w:val="v2-italik-10"/>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1">
    <w:name w:val="v2-italik-11"/>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2">
    <w:name w:val="v2-italik-12"/>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3">
    <w:name w:val="v2-italik-13"/>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4">
    <w:name w:val="v2-italik-14"/>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5">
    <w:name w:val="v2-italik-15"/>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6">
    <w:name w:val="v2-italik-16"/>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7">
    <w:name w:val="v2-italik-17"/>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8">
    <w:name w:val="v2-italik-18"/>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19">
    <w:name w:val="v2-italik-19"/>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italik-20">
    <w:name w:val="v2-italik-20"/>
    <w:basedOn w:val="Normal"/>
    <w:rsid w:val="00DF72E5"/>
    <w:pPr>
      <w:spacing w:after="150"/>
      <w:ind w:firstLine="480"/>
      <w:contextualSpacing w:val="0"/>
      <w:jc w:val="center"/>
    </w:pPr>
    <w:rPr>
      <w:rFonts w:ascii="Verdana" w:eastAsia="Times New Roman" w:hAnsi="Verdana" w:cs="Arial"/>
      <w:b/>
      <w:bCs/>
      <w:i/>
      <w:iCs/>
      <w:noProof w:val="0"/>
      <w:sz w:val="20"/>
      <w:szCs w:val="20"/>
      <w:lang w:eastAsia="sr-Latn-RS"/>
    </w:rPr>
  </w:style>
  <w:style w:type="paragraph" w:customStyle="1" w:styleId="v2-spacija-4">
    <w:name w:val="v2-spacija-4"/>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5">
    <w:name w:val="v2-spacija-5"/>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6">
    <w:name w:val="v2-spacija-6"/>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7">
    <w:name w:val="v2-spacija-7"/>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8">
    <w:name w:val="v2-spacija-8"/>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9">
    <w:name w:val="v2-spacija-9"/>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0">
    <w:name w:val="v2-spacija-10"/>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1">
    <w:name w:val="v2-spacija-11"/>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2">
    <w:name w:val="v2-spacija-12"/>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3">
    <w:name w:val="v2-spacija-13"/>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4">
    <w:name w:val="v2-spacija-14"/>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5">
    <w:name w:val="v2-spacija-15"/>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6">
    <w:name w:val="v2-spacija-16"/>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7">
    <w:name w:val="v2-spacija-17"/>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8">
    <w:name w:val="v2-spacija-18"/>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19">
    <w:name w:val="v2-spacija-19"/>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spacija-20">
    <w:name w:val="v2-spacija-20"/>
    <w:basedOn w:val="Normal"/>
    <w:rsid w:val="00DF72E5"/>
    <w:pPr>
      <w:spacing w:after="150"/>
      <w:ind w:firstLine="480"/>
      <w:contextualSpacing w:val="0"/>
      <w:jc w:val="center"/>
    </w:pPr>
    <w:rPr>
      <w:rFonts w:ascii="Verdana" w:eastAsia="Times New Roman" w:hAnsi="Verdana" w:cs="Arial"/>
      <w:b/>
      <w:bCs/>
      <w:noProof w:val="0"/>
      <w:spacing w:val="18"/>
      <w:sz w:val="20"/>
      <w:szCs w:val="20"/>
      <w:lang w:eastAsia="sr-Latn-RS"/>
    </w:rPr>
  </w:style>
  <w:style w:type="paragraph" w:customStyle="1" w:styleId="v2-clan-4">
    <w:name w:val="v2-clan-4"/>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5">
    <w:name w:val="v2-clan-5"/>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6">
    <w:name w:val="v2-clan-6"/>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7">
    <w:name w:val="v2-clan-7"/>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8">
    <w:name w:val="v2-clan-8"/>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9">
    <w:name w:val="v2-clan-9"/>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0">
    <w:name w:val="v2-clan-10"/>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1">
    <w:name w:val="v2-clan-11"/>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2">
    <w:name w:val="v2-clan-12"/>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3">
    <w:name w:val="v2-clan-13"/>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4">
    <w:name w:val="v2-clan-14"/>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5">
    <w:name w:val="v2-clan-15"/>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6">
    <w:name w:val="v2-clan-16"/>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7">
    <w:name w:val="v2-clan-17"/>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8">
    <w:name w:val="v2-clan-18"/>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19">
    <w:name w:val="v2-clan-19"/>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20">
    <w:name w:val="v2-clan-20"/>
    <w:basedOn w:val="Normal"/>
    <w:rsid w:val="00DF72E5"/>
    <w:pPr>
      <w:spacing w:before="420"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left-4">
    <w:name w:val="v2-bold-left-4"/>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5">
    <w:name w:val="v2-bold-left-5"/>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6">
    <w:name w:val="v2-bold-left-6"/>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7">
    <w:name w:val="v2-bold-left-7"/>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8">
    <w:name w:val="v2-bold-left-8"/>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9">
    <w:name w:val="v2-bold-left-9"/>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0">
    <w:name w:val="v2-bold-left-10"/>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1">
    <w:name w:val="v2-bold-left-11"/>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2">
    <w:name w:val="v2-bold-left-12"/>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3">
    <w:name w:val="v2-bold-left-13"/>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4">
    <w:name w:val="v2-bold-left-14"/>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5">
    <w:name w:val="v2-bold-left-15"/>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6">
    <w:name w:val="v2-bold-left-16"/>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7">
    <w:name w:val="v2-bold-left-17"/>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8">
    <w:name w:val="v2-bold-left-18"/>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19">
    <w:name w:val="v2-bold-left-19"/>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bold-left-20">
    <w:name w:val="v2-bold-left-20"/>
    <w:basedOn w:val="Normal"/>
    <w:rsid w:val="00DF72E5"/>
    <w:pPr>
      <w:spacing w:after="150"/>
      <w:ind w:firstLine="480"/>
      <w:contextualSpacing w:val="0"/>
    </w:pPr>
    <w:rPr>
      <w:rFonts w:ascii="Verdana" w:eastAsia="Times New Roman" w:hAnsi="Verdana" w:cs="Arial"/>
      <w:b/>
      <w:bCs/>
      <w:noProof w:val="0"/>
      <w:sz w:val="20"/>
      <w:szCs w:val="20"/>
      <w:u w:val="single"/>
      <w:lang w:eastAsia="sr-Latn-RS"/>
    </w:rPr>
  </w:style>
  <w:style w:type="paragraph" w:customStyle="1" w:styleId="v2-italik-left-4">
    <w:name w:val="v2-italik-left-4"/>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5">
    <w:name w:val="v2-italik-left-5"/>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6">
    <w:name w:val="v2-italik-left-6"/>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7">
    <w:name w:val="v2-italik-left-7"/>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8">
    <w:name w:val="v2-italik-left-8"/>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9">
    <w:name w:val="v2-italik-left-9"/>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0">
    <w:name w:val="v2-italik-left-10"/>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1">
    <w:name w:val="v2-italik-left-11"/>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2">
    <w:name w:val="v2-italik-left-12"/>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3">
    <w:name w:val="v2-italik-left-13"/>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4">
    <w:name w:val="v2-italik-left-14"/>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5">
    <w:name w:val="v2-italik-left-15"/>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6">
    <w:name w:val="v2-italik-left-16"/>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7">
    <w:name w:val="v2-italik-left-17"/>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8">
    <w:name w:val="v2-italik-left-18"/>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19">
    <w:name w:val="v2-italik-left-19"/>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italik-left-20">
    <w:name w:val="v2-italik-left-20"/>
    <w:basedOn w:val="Normal"/>
    <w:rsid w:val="00DF72E5"/>
    <w:pPr>
      <w:spacing w:after="150"/>
      <w:ind w:firstLine="480"/>
      <w:contextualSpacing w:val="0"/>
    </w:pPr>
    <w:rPr>
      <w:rFonts w:ascii="Verdana" w:eastAsia="Times New Roman" w:hAnsi="Verdana" w:cs="Arial"/>
      <w:b/>
      <w:bCs/>
      <w:i/>
      <w:iCs/>
      <w:noProof w:val="0"/>
      <w:sz w:val="20"/>
      <w:szCs w:val="20"/>
      <w:lang w:eastAsia="sr-Latn-RS"/>
    </w:rPr>
  </w:style>
  <w:style w:type="paragraph" w:customStyle="1" w:styleId="v2-spacija-left-4">
    <w:name w:val="v2-spacija-left-4"/>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5">
    <w:name w:val="v2-spacija-left-5"/>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6">
    <w:name w:val="v2-spacija-left-6"/>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7">
    <w:name w:val="v2-spacija-left-7"/>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8">
    <w:name w:val="v2-spacija-left-8"/>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9">
    <w:name w:val="v2-spacija-left-9"/>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0">
    <w:name w:val="v2-spacija-left-10"/>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1">
    <w:name w:val="v2-spacija-left-11"/>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2">
    <w:name w:val="v2-spacija-left-12"/>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3">
    <w:name w:val="v2-spacija-left-13"/>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4">
    <w:name w:val="v2-spacija-left-14"/>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5">
    <w:name w:val="v2-spacija-left-15"/>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6">
    <w:name w:val="v2-spacija-left-16"/>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7">
    <w:name w:val="v2-spacija-left-17"/>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8">
    <w:name w:val="v2-spacija-left-18"/>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19">
    <w:name w:val="v2-spacija-left-19"/>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spacija-left-20">
    <w:name w:val="v2-spacija-left-20"/>
    <w:basedOn w:val="Normal"/>
    <w:rsid w:val="00DF72E5"/>
    <w:pPr>
      <w:spacing w:after="150"/>
      <w:ind w:firstLine="480"/>
      <w:contextualSpacing w:val="0"/>
    </w:pPr>
    <w:rPr>
      <w:rFonts w:ascii="Verdana" w:eastAsia="Times New Roman" w:hAnsi="Verdana" w:cs="Arial"/>
      <w:b/>
      <w:bCs/>
      <w:noProof w:val="0"/>
      <w:spacing w:val="18"/>
      <w:sz w:val="20"/>
      <w:szCs w:val="20"/>
      <w:lang w:eastAsia="sr-Latn-RS"/>
    </w:rPr>
  </w:style>
  <w:style w:type="paragraph" w:customStyle="1" w:styleId="v2-clan-left-11">
    <w:name w:val="v2-clan-left-1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2">
    <w:name w:val="v2-clan-left-12"/>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3">
    <w:name w:val="v2-clan-left-13"/>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4">
    <w:name w:val="v2-clan-left-14"/>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5">
    <w:name w:val="v2-clan-left-15"/>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6">
    <w:name w:val="v2-clan-left-16"/>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7">
    <w:name w:val="v2-clan-left-17"/>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8">
    <w:name w:val="v2-clan-left-18"/>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19">
    <w:name w:val="v2-clan-left-19"/>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left-20">
    <w:name w:val="v2-clan-left-2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unitalic-change">
    <w:name w:val="unitalic-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law-size-0">
    <w:name w:val="law-size-0"/>
    <w:basedOn w:val="Normal"/>
    <w:rsid w:val="00DF72E5"/>
    <w:pPr>
      <w:spacing w:after="150"/>
      <w:ind w:firstLine="480"/>
      <w:contextualSpacing w:val="0"/>
    </w:pPr>
    <w:rPr>
      <w:rFonts w:ascii="Verdana" w:eastAsia="Times New Roman" w:hAnsi="Verdana" w:cs="Arial"/>
      <w:noProof w:val="0"/>
      <w:sz w:val="24"/>
      <w:szCs w:val="24"/>
      <w:lang w:eastAsia="sr-Latn-RS"/>
    </w:rPr>
  </w:style>
  <w:style w:type="paragraph" w:customStyle="1" w:styleId="h4">
    <w:name w:val="h4"/>
    <w:basedOn w:val="Normal"/>
    <w:rsid w:val="00DF72E5"/>
    <w:pPr>
      <w:spacing w:after="150"/>
      <w:ind w:firstLine="480"/>
      <w:contextualSpacing w:val="0"/>
    </w:pPr>
    <w:rPr>
      <w:rFonts w:ascii="inherit" w:eastAsia="Times New Roman" w:hAnsi="inherit" w:cs="Arial"/>
      <w:noProof w:val="0"/>
      <w:sz w:val="27"/>
      <w:szCs w:val="27"/>
      <w:lang w:eastAsia="sr-Latn-RS"/>
    </w:rPr>
  </w:style>
  <w:style w:type="paragraph" w:customStyle="1" w:styleId="h1">
    <w:name w:val="h1"/>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2">
    <w:name w:val="h2"/>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3">
    <w:name w:val="h3"/>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h5">
    <w:name w:val="h5"/>
    <w:basedOn w:val="Normal"/>
    <w:rsid w:val="00DF72E5"/>
    <w:pPr>
      <w:spacing w:after="150"/>
      <w:ind w:firstLine="480"/>
      <w:contextualSpacing w:val="0"/>
    </w:pPr>
    <w:rPr>
      <w:rFonts w:ascii="inherit" w:eastAsia="Times New Roman" w:hAnsi="inherit" w:cs="Arial"/>
      <w:noProof w:val="0"/>
      <w:sz w:val="21"/>
      <w:szCs w:val="21"/>
      <w:lang w:eastAsia="sr-Latn-RS"/>
    </w:rPr>
  </w:style>
  <w:style w:type="paragraph" w:customStyle="1" w:styleId="h6">
    <w:name w:val="h6"/>
    <w:basedOn w:val="Normal"/>
    <w:rsid w:val="00DF72E5"/>
    <w:pPr>
      <w:spacing w:after="150"/>
      <w:ind w:firstLine="480"/>
      <w:contextualSpacing w:val="0"/>
    </w:pPr>
    <w:rPr>
      <w:rFonts w:ascii="inherit" w:eastAsia="Times New Roman" w:hAnsi="inherit" w:cs="Arial"/>
      <w:noProof w:val="0"/>
      <w:sz w:val="20"/>
      <w:szCs w:val="20"/>
      <w:lang w:eastAsia="sr-Latn-RS"/>
    </w:rPr>
  </w:style>
  <w:style w:type="paragraph" w:customStyle="1" w:styleId="modal-body">
    <w:name w:val="modal-body"/>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list-inline">
    <w:name w:val="list-inline"/>
    <w:basedOn w:val="Normal"/>
    <w:rsid w:val="00DF72E5"/>
    <w:pPr>
      <w:spacing w:after="150"/>
      <w:ind w:left="-75" w:firstLine="480"/>
      <w:contextualSpacing w:val="0"/>
    </w:pPr>
    <w:rPr>
      <w:rFonts w:ascii="Verdana" w:eastAsia="Times New Roman" w:hAnsi="Verdana" w:cs="Arial"/>
      <w:noProof w:val="0"/>
      <w:sz w:val="20"/>
      <w:szCs w:val="20"/>
      <w:lang w:eastAsia="sr-Latn-RS"/>
    </w:rPr>
  </w:style>
  <w:style w:type="paragraph" w:customStyle="1" w:styleId="panel-group">
    <w:name w:val="panel-group"/>
    <w:basedOn w:val="Normal"/>
    <w:rsid w:val="00DF72E5"/>
    <w:pPr>
      <w:spacing w:after="300"/>
      <w:ind w:firstLine="480"/>
      <w:contextualSpacing w:val="0"/>
    </w:pPr>
    <w:rPr>
      <w:rFonts w:ascii="Verdana" w:eastAsia="Times New Roman" w:hAnsi="Verdana" w:cs="Arial"/>
      <w:noProof w:val="0"/>
      <w:sz w:val="20"/>
      <w:szCs w:val="20"/>
      <w:lang w:eastAsia="sr-Latn-RS"/>
    </w:rPr>
  </w:style>
  <w:style w:type="paragraph" w:customStyle="1" w:styleId="panel">
    <w:name w:val="panel"/>
    <w:basedOn w:val="Normal"/>
    <w:rsid w:val="00DF72E5"/>
    <w:pPr>
      <w:shd w:val="clear" w:color="auto" w:fill="FFFFFF"/>
      <w:spacing w:after="300"/>
      <w:ind w:firstLine="480"/>
      <w:contextualSpacing w:val="0"/>
    </w:pPr>
    <w:rPr>
      <w:rFonts w:ascii="Verdana" w:eastAsia="Times New Roman" w:hAnsi="Verdana" w:cs="Arial"/>
      <w:noProof w:val="0"/>
      <w:sz w:val="20"/>
      <w:szCs w:val="20"/>
      <w:lang w:eastAsia="sr-Latn-RS"/>
    </w:rPr>
  </w:style>
  <w:style w:type="paragraph" w:customStyle="1" w:styleId="panel-default">
    <w:name w:val="panel-default"/>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le-panel-green1">
    <w:name w:val="table-panel-green1"/>
    <w:basedOn w:val="Normal"/>
    <w:rsid w:val="00DF72E5"/>
    <w:pPr>
      <w:pBdr>
        <w:top w:val="single" w:sz="6" w:space="0" w:color="DDDDDD"/>
        <w:left w:val="single" w:sz="6" w:space="0" w:color="DDDDDD"/>
        <w:bottom w:val="single" w:sz="6" w:space="0" w:color="DDDDDD"/>
        <w:right w:val="single" w:sz="6" w:space="0" w:color="DDDDDD"/>
      </w:pBdr>
      <w:spacing w:before="75" w:after="150"/>
      <w:ind w:firstLine="480"/>
      <w:contextualSpacing w:val="0"/>
    </w:pPr>
    <w:rPr>
      <w:rFonts w:ascii="Verdana" w:eastAsia="Times New Roman" w:hAnsi="Verdana" w:cs="Arial"/>
      <w:noProof w:val="0"/>
      <w:sz w:val="20"/>
      <w:szCs w:val="20"/>
      <w:lang w:eastAsia="sr-Latn-RS"/>
    </w:rPr>
  </w:style>
  <w:style w:type="paragraph" w:customStyle="1" w:styleId="panel-title">
    <w:name w:val="panel-title"/>
    <w:basedOn w:val="Normal"/>
    <w:rsid w:val="00DF72E5"/>
    <w:pPr>
      <w:ind w:firstLine="480"/>
      <w:contextualSpacing w:val="0"/>
    </w:pPr>
    <w:rPr>
      <w:rFonts w:ascii="Verdana" w:eastAsia="Times New Roman" w:hAnsi="Verdana" w:cs="Arial"/>
      <w:noProof w:val="0"/>
      <w:sz w:val="24"/>
      <w:szCs w:val="24"/>
      <w:lang w:eastAsia="sr-Latn-RS"/>
    </w:rPr>
  </w:style>
  <w:style w:type="paragraph" w:customStyle="1" w:styleId="panel-title-green">
    <w:name w:val="panel-title-green"/>
    <w:basedOn w:val="Normal"/>
    <w:rsid w:val="00DF72E5"/>
    <w:pPr>
      <w:spacing w:after="150"/>
      <w:ind w:firstLine="480"/>
      <w:contextualSpacing w:val="0"/>
    </w:pPr>
    <w:rPr>
      <w:rFonts w:ascii="Verdana" w:eastAsia="Times New Roman" w:hAnsi="Verdana" w:cs="Arial"/>
      <w:noProof w:val="0"/>
      <w:sz w:val="21"/>
      <w:szCs w:val="21"/>
      <w:lang w:eastAsia="sr-Latn-RS"/>
    </w:rPr>
  </w:style>
  <w:style w:type="paragraph" w:customStyle="1" w:styleId="panel-heading">
    <w:name w:val="panel-heading"/>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panel-heading-green">
    <w:name w:val="panel-heading-green"/>
    <w:basedOn w:val="Normal"/>
    <w:rsid w:val="00DF72E5"/>
    <w:pPr>
      <w:shd w:val="clear" w:color="auto" w:fill="0E9606"/>
      <w:spacing w:after="150"/>
      <w:ind w:firstLine="480"/>
      <w:contextualSpacing w:val="0"/>
    </w:pPr>
    <w:rPr>
      <w:rFonts w:ascii="Verdana" w:eastAsia="Times New Roman" w:hAnsi="Verdana" w:cs="Arial"/>
      <w:noProof w:val="0"/>
      <w:color w:val="FFFFFF"/>
      <w:sz w:val="20"/>
      <w:szCs w:val="20"/>
      <w:lang w:eastAsia="sr-Latn-RS"/>
    </w:rPr>
  </w:style>
  <w:style w:type="paragraph" w:customStyle="1" w:styleId="row">
    <w:name w:val="row"/>
    <w:basedOn w:val="Normal"/>
    <w:rsid w:val="00DF72E5"/>
    <w:pPr>
      <w:spacing w:after="150"/>
      <w:ind w:left="-225" w:right="-225" w:firstLine="480"/>
      <w:contextualSpacing w:val="0"/>
    </w:pPr>
    <w:rPr>
      <w:rFonts w:ascii="Verdana" w:eastAsia="Times New Roman" w:hAnsi="Verdana" w:cs="Arial"/>
      <w:noProof w:val="0"/>
      <w:sz w:val="20"/>
      <w:szCs w:val="20"/>
      <w:lang w:eastAsia="sr-Latn-RS"/>
    </w:rPr>
  </w:style>
  <w:style w:type="paragraph" w:customStyle="1" w:styleId="view-act-primary">
    <w:name w:val="view-act-primary"/>
    <w:basedOn w:val="Normal"/>
    <w:rsid w:val="00DF72E5"/>
    <w:pPr>
      <w:pBdr>
        <w:top w:val="single" w:sz="12" w:space="4" w:color="CCCCCC"/>
      </w:pBdr>
      <w:spacing w:after="150"/>
      <w:ind w:firstLine="480"/>
      <w:contextualSpacing w:val="0"/>
    </w:pPr>
    <w:rPr>
      <w:rFonts w:ascii="Verdana" w:eastAsia="Times New Roman" w:hAnsi="Verdana" w:cs="Arial"/>
      <w:noProof w:val="0"/>
      <w:sz w:val="20"/>
      <w:szCs w:val="20"/>
      <w:lang w:eastAsia="sr-Latn-RS"/>
    </w:rPr>
  </w:style>
  <w:style w:type="paragraph" w:customStyle="1" w:styleId="list-group-item">
    <w:name w:val="list-group-item"/>
    <w:basedOn w:val="Normal"/>
    <w:rsid w:val="00DF72E5"/>
    <w:pPr>
      <w:pBdr>
        <w:top w:val="single" w:sz="6" w:space="8" w:color="DDDDDD"/>
        <w:left w:val="single" w:sz="6" w:space="11" w:color="DDDDDD"/>
        <w:bottom w:val="single" w:sz="6" w:space="8" w:color="DDDDDD"/>
        <w:right w:val="single" w:sz="6" w:space="11" w:color="DDDDDD"/>
      </w:pBd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collapse">
    <w:name w:val="collapse"/>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naslovmml0">
    <w:name w:val="naslovmml"/>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siroka-tabela">
    <w:name w:val="siroka-tabela"/>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auto-style1">
    <w:name w:val="auto-style1"/>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links">
    <w:name w:val="links"/>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act-menu-item">
    <w:name w:val="act-menu-item"/>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glinks">
    <w:name w:val="reglinks"/>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1mi">
    <w:name w:val="tab01m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2pi">
    <w:name w:val="tab02p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3mo">
    <w:name w:val="tab03mo"/>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4li">
    <w:name w:val="tab04li"/>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5su">
    <w:name w:val="tab05su"/>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force-display-block">
    <w:name w:val="force-display-block"/>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force-display-none">
    <w:name w:val="force-display-none"/>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unbold-change">
    <w:name w:val="unbold-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hide-change">
    <w:name w:val="hide-change"/>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clan-margin">
    <w:name w:val="clan-margin"/>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10">
    <w:name w:val="v2-clan-left-110"/>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21">
    <w:name w:val="v2-clan-left-2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31">
    <w:name w:val="v2-clan-left-3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41">
    <w:name w:val="v2-clan-left-4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51">
    <w:name w:val="v2-clan-left-5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61">
    <w:name w:val="v2-clan-left-6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71">
    <w:name w:val="v2-clan-left-7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81">
    <w:name w:val="v2-clan-left-8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91">
    <w:name w:val="v2-clan-left-9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01">
    <w:name w:val="v2-clan-left-10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underline-left1">
    <w:name w:val="v2-underline-left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spacija-left-110">
    <w:name w:val="v2-spacija-left-110"/>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1">
    <w:name w:val="v2-spacija-left-2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31">
    <w:name w:val="v2-spacija-left-3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italik-left-110">
    <w:name w:val="v2-italik-left-110"/>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1">
    <w:name w:val="v2-italik-left-2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31">
    <w:name w:val="v2-italik-left-3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bold-left-110">
    <w:name w:val="v2-bold-left-110"/>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1">
    <w:name w:val="v2-bold-left-2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31">
    <w:name w:val="v2-bold-left-3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clan-110">
    <w:name w:val="v2-clan-110"/>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1">
    <w:name w:val="v2-clan-2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31">
    <w:name w:val="v2-clan-3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underline1">
    <w:name w:val="v2-underline1"/>
    <w:basedOn w:val="Normal"/>
    <w:rsid w:val="00DF72E5"/>
    <w:pPr>
      <w:spacing w:after="150"/>
      <w:ind w:firstLine="480"/>
      <w:contextualSpacing w:val="0"/>
      <w:jc w:val="center"/>
    </w:pPr>
    <w:rPr>
      <w:rFonts w:ascii="Verdana" w:eastAsia="Times New Roman" w:hAnsi="Verdana" w:cs="Arial"/>
      <w:noProof w:val="0"/>
      <w:sz w:val="20"/>
      <w:szCs w:val="20"/>
      <w:lang w:eastAsia="sr-Latn-RS"/>
    </w:rPr>
  </w:style>
  <w:style w:type="paragraph" w:customStyle="1" w:styleId="v2-spacija-110">
    <w:name w:val="v2-spacija-110"/>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1">
    <w:name w:val="v2-spacija-2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31">
    <w:name w:val="v2-spacija-3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italik-110">
    <w:name w:val="v2-italik-110"/>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1">
    <w:name w:val="v2-italik-2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31">
    <w:name w:val="v2-italik-3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bold-110">
    <w:name w:val="v2-bold-110"/>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1">
    <w:name w:val="v2-bold-2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31">
    <w:name w:val="v2-bold-3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clan-verzal-110">
    <w:name w:val="v2-clan-verzal-110"/>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1">
    <w:name w:val="v2-clan-verzal-2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italik-verzal-110">
    <w:name w:val="v2-italik-verzal-110"/>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1">
    <w:name w:val="v2-italik-verzal-2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31">
    <w:name w:val="v2-italik-verzal-3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bold-verzal-110">
    <w:name w:val="v2-bold-verzal-110"/>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1">
    <w:name w:val="v2-bold-verzal-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31">
    <w:name w:val="v2-bold-verzal-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0">
    <w:name w:val="v2-naslov-110"/>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1">
    <w:name w:val="v2-naslov-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31">
    <w:name w:val="v2-naslov-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0">
    <w:name w:val="v2-odluka-zakon-110"/>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1">
    <w:name w:val="v2-odluka-zakon-2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31">
    <w:name w:val="v2-odluka-zakon-3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f1">
    <w:name w:val="f1"/>
    <w:basedOn w:val="Normal"/>
    <w:rsid w:val="00DF72E5"/>
    <w:pPr>
      <w:spacing w:after="150"/>
      <w:contextualSpacing w:val="0"/>
    </w:pPr>
    <w:rPr>
      <w:rFonts w:ascii="Verdana" w:eastAsia="Times New Roman" w:hAnsi="Verdana" w:cs="Arial"/>
      <w:i/>
      <w:iCs/>
      <w:noProof w:val="0"/>
      <w:sz w:val="20"/>
      <w:szCs w:val="20"/>
      <w:lang w:eastAsia="sr-Latn-RS"/>
    </w:rPr>
  </w:style>
  <w:style w:type="paragraph" w:customStyle="1" w:styleId="links1">
    <w:name w:val="links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reglinks1">
    <w:name w:val="reglinks1"/>
    <w:basedOn w:val="Normal"/>
    <w:rsid w:val="00DF72E5"/>
    <w:pPr>
      <w:pBdr>
        <w:top w:val="single" w:sz="6" w:space="0" w:color="E3E3E3"/>
        <w:bottom w:val="single" w:sz="6" w:space="0" w:color="E5E5E5"/>
      </w:pBdr>
      <w:shd w:val="clear" w:color="auto" w:fill="E9E9E9"/>
      <w:spacing w:after="150" w:line="180" w:lineRule="atLeast"/>
      <w:ind w:firstLine="480"/>
      <w:contextualSpacing w:val="0"/>
      <w:jc w:val="center"/>
    </w:pPr>
    <w:rPr>
      <w:rFonts w:ascii="Verdana" w:eastAsia="Times New Roman" w:hAnsi="Verdana" w:cs="Arial"/>
      <w:noProof w:val="0"/>
      <w:color w:val="028002"/>
      <w:sz w:val="20"/>
      <w:szCs w:val="20"/>
      <w:lang w:eastAsia="sr-Latn-RS"/>
    </w:rPr>
  </w:style>
  <w:style w:type="paragraph" w:customStyle="1" w:styleId="tab01mi1">
    <w:name w:val="tab01m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2pi1">
    <w:name w:val="tab02p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3mo1">
    <w:name w:val="tab03mo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4li1">
    <w:name w:val="tab04li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tab05su1">
    <w:name w:val="tab05su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odluka-zakon-41">
    <w:name w:val="v2-odluka-zakon-4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51">
    <w:name w:val="v2-odluka-zakon-5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61">
    <w:name w:val="v2-odluka-zakon-6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71">
    <w:name w:val="v2-odluka-zakon-7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81">
    <w:name w:val="v2-odluka-zakon-8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91">
    <w:name w:val="v2-odluka-zakon-9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01">
    <w:name w:val="v2-odluka-zakon-10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11">
    <w:name w:val="v2-odluka-zakon-11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21">
    <w:name w:val="v2-odluka-zakon-12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31">
    <w:name w:val="v2-odluka-zakon-13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41">
    <w:name w:val="v2-odluka-zakon-14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51">
    <w:name w:val="v2-odluka-zakon-15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61">
    <w:name w:val="v2-odluka-zakon-16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71">
    <w:name w:val="v2-odluka-zakon-17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81">
    <w:name w:val="v2-odluka-zakon-18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191">
    <w:name w:val="v2-odluka-zakon-19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odluka-zakon-201">
    <w:name w:val="v2-odluka-zakon-201"/>
    <w:basedOn w:val="Normal"/>
    <w:rsid w:val="00DF72E5"/>
    <w:pPr>
      <w:spacing w:before="360"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41">
    <w:name w:val="v2-naslov-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51">
    <w:name w:val="v2-naslov-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61">
    <w:name w:val="v2-naslov-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71">
    <w:name w:val="v2-naslov-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81">
    <w:name w:val="v2-naslov-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91">
    <w:name w:val="v2-naslov-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01">
    <w:name w:val="v2-naslov-1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11">
    <w:name w:val="v2-naslov-11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21">
    <w:name w:val="v2-naslov-1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31">
    <w:name w:val="v2-naslov-1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41">
    <w:name w:val="v2-naslov-1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51">
    <w:name w:val="v2-naslov-1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61">
    <w:name w:val="v2-naslov-1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71">
    <w:name w:val="v2-naslov-1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81">
    <w:name w:val="v2-naslov-1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191">
    <w:name w:val="v2-naslov-1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naslov-201">
    <w:name w:val="v2-naslov-2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41">
    <w:name w:val="v2-bold-verzal-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51">
    <w:name w:val="v2-bold-verzal-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61">
    <w:name w:val="v2-bold-verzal-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71">
    <w:name w:val="v2-bold-verzal-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81">
    <w:name w:val="v2-bold-verzal-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91">
    <w:name w:val="v2-bold-verzal-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01">
    <w:name w:val="v2-bold-verzal-1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11">
    <w:name w:val="v2-bold-verzal-11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21">
    <w:name w:val="v2-bold-verzal-12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31">
    <w:name w:val="v2-bold-verzal-13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41">
    <w:name w:val="v2-bold-verzal-14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51">
    <w:name w:val="v2-bold-verzal-15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61">
    <w:name w:val="v2-bold-verzal-16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71">
    <w:name w:val="v2-bold-verzal-17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81">
    <w:name w:val="v2-bold-verzal-18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191">
    <w:name w:val="v2-bold-verzal-19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bold-verzal-201">
    <w:name w:val="v2-bold-verzal-201"/>
    <w:basedOn w:val="Normal"/>
    <w:rsid w:val="00DF72E5"/>
    <w:pPr>
      <w:spacing w:after="150"/>
      <w:ind w:firstLine="480"/>
      <w:contextualSpacing w:val="0"/>
      <w:jc w:val="center"/>
    </w:pPr>
    <w:rPr>
      <w:rFonts w:ascii="Verdana" w:eastAsia="Times New Roman" w:hAnsi="Verdana" w:cs="Arial"/>
      <w:b/>
      <w:bCs/>
      <w:caps/>
      <w:noProof w:val="0"/>
      <w:sz w:val="20"/>
      <w:szCs w:val="20"/>
      <w:lang w:eastAsia="sr-Latn-RS"/>
    </w:rPr>
  </w:style>
  <w:style w:type="paragraph" w:customStyle="1" w:styleId="v2-italik-verzal-41">
    <w:name w:val="v2-italik-verzal-4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51">
    <w:name w:val="v2-italik-verzal-5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61">
    <w:name w:val="v2-italik-verzal-6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71">
    <w:name w:val="v2-italik-verzal-7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81">
    <w:name w:val="v2-italik-verzal-8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91">
    <w:name w:val="v2-italik-verzal-9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01">
    <w:name w:val="v2-italik-verzal-10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11">
    <w:name w:val="v2-italik-verzal-11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21">
    <w:name w:val="v2-italik-verzal-12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31">
    <w:name w:val="v2-italik-verzal-13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41">
    <w:name w:val="v2-italik-verzal-14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51">
    <w:name w:val="v2-italik-verzal-15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61">
    <w:name w:val="v2-italik-verzal-16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71">
    <w:name w:val="v2-italik-verzal-17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81">
    <w:name w:val="v2-italik-verzal-18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191">
    <w:name w:val="v2-italik-verzal-19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italik-verzal-201">
    <w:name w:val="v2-italik-verzal-201"/>
    <w:basedOn w:val="Normal"/>
    <w:rsid w:val="00DF72E5"/>
    <w:pPr>
      <w:spacing w:after="150"/>
      <w:ind w:firstLine="480"/>
      <w:contextualSpacing w:val="0"/>
      <w:jc w:val="center"/>
    </w:pPr>
    <w:rPr>
      <w:rFonts w:ascii="Verdana" w:eastAsia="Times New Roman" w:hAnsi="Verdana" w:cs="Arial"/>
      <w:i/>
      <w:iCs/>
      <w:caps/>
      <w:noProof w:val="0"/>
      <w:sz w:val="20"/>
      <w:szCs w:val="20"/>
      <w:lang w:eastAsia="sr-Latn-RS"/>
    </w:rPr>
  </w:style>
  <w:style w:type="paragraph" w:customStyle="1" w:styleId="v2-clan-verzal-31">
    <w:name w:val="v2-clan-verzal-3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41">
    <w:name w:val="v2-clan-verzal-4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51">
    <w:name w:val="v2-clan-verzal-5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61">
    <w:name w:val="v2-clan-verzal-6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71">
    <w:name w:val="v2-clan-verzal-7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81">
    <w:name w:val="v2-clan-verzal-8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91">
    <w:name w:val="v2-clan-verzal-9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01">
    <w:name w:val="v2-clan-verzal-10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11">
    <w:name w:val="v2-clan-verzal-11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21">
    <w:name w:val="v2-clan-verzal-12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31">
    <w:name w:val="v2-clan-verzal-13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41">
    <w:name w:val="v2-clan-verzal-14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51">
    <w:name w:val="v2-clan-verzal-15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61">
    <w:name w:val="v2-clan-verzal-16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71">
    <w:name w:val="v2-clan-verzal-17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81">
    <w:name w:val="v2-clan-verzal-18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191">
    <w:name w:val="v2-clan-verzal-19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clan-verzal-201">
    <w:name w:val="v2-clan-verzal-201"/>
    <w:basedOn w:val="Normal"/>
    <w:rsid w:val="00DF72E5"/>
    <w:pPr>
      <w:spacing w:before="420" w:after="150"/>
      <w:ind w:firstLine="480"/>
      <w:contextualSpacing w:val="0"/>
      <w:jc w:val="center"/>
    </w:pPr>
    <w:rPr>
      <w:rFonts w:ascii="Verdana" w:eastAsia="Times New Roman" w:hAnsi="Verdana" w:cs="Arial"/>
      <w:caps/>
      <w:noProof w:val="0"/>
      <w:sz w:val="20"/>
      <w:szCs w:val="20"/>
      <w:lang w:eastAsia="sr-Latn-RS"/>
    </w:rPr>
  </w:style>
  <w:style w:type="paragraph" w:customStyle="1" w:styleId="v2-bold-41">
    <w:name w:val="v2-bold-4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51">
    <w:name w:val="v2-bold-5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61">
    <w:name w:val="v2-bold-6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71">
    <w:name w:val="v2-bold-7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81">
    <w:name w:val="v2-bold-8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91">
    <w:name w:val="v2-bold-9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01">
    <w:name w:val="v2-bold-10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11">
    <w:name w:val="v2-bold-11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21">
    <w:name w:val="v2-bold-12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31">
    <w:name w:val="v2-bold-13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41">
    <w:name w:val="v2-bold-14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51">
    <w:name w:val="v2-bold-15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61">
    <w:name w:val="v2-bold-16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71">
    <w:name w:val="v2-bold-17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81">
    <w:name w:val="v2-bold-18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191">
    <w:name w:val="v2-bold-19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bold-201">
    <w:name w:val="v2-bold-201"/>
    <w:basedOn w:val="Normal"/>
    <w:rsid w:val="00DF72E5"/>
    <w:pPr>
      <w:spacing w:after="150"/>
      <w:ind w:firstLine="480"/>
      <w:contextualSpacing w:val="0"/>
      <w:jc w:val="center"/>
    </w:pPr>
    <w:rPr>
      <w:rFonts w:ascii="Verdana" w:eastAsia="Times New Roman" w:hAnsi="Verdana" w:cs="Arial"/>
      <w:b/>
      <w:bCs/>
      <w:noProof w:val="0"/>
      <w:sz w:val="20"/>
      <w:szCs w:val="20"/>
      <w:lang w:eastAsia="sr-Latn-RS"/>
    </w:rPr>
  </w:style>
  <w:style w:type="paragraph" w:customStyle="1" w:styleId="v2-italik-41">
    <w:name w:val="v2-italik-4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51">
    <w:name w:val="v2-italik-5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61">
    <w:name w:val="v2-italik-6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71">
    <w:name w:val="v2-italik-7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81">
    <w:name w:val="v2-italik-8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91">
    <w:name w:val="v2-italik-9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01">
    <w:name w:val="v2-italik-10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11">
    <w:name w:val="v2-italik-11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21">
    <w:name w:val="v2-italik-12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31">
    <w:name w:val="v2-italik-13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41">
    <w:name w:val="v2-italik-14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51">
    <w:name w:val="v2-italik-15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61">
    <w:name w:val="v2-italik-16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71">
    <w:name w:val="v2-italik-17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81">
    <w:name w:val="v2-italik-18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191">
    <w:name w:val="v2-italik-19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italik-201">
    <w:name w:val="v2-italik-201"/>
    <w:basedOn w:val="Normal"/>
    <w:rsid w:val="00DF72E5"/>
    <w:pPr>
      <w:spacing w:after="150"/>
      <w:ind w:firstLine="480"/>
      <w:contextualSpacing w:val="0"/>
      <w:jc w:val="center"/>
    </w:pPr>
    <w:rPr>
      <w:rFonts w:ascii="Verdana" w:eastAsia="Times New Roman" w:hAnsi="Verdana" w:cs="Arial"/>
      <w:i/>
      <w:iCs/>
      <w:noProof w:val="0"/>
      <w:sz w:val="20"/>
      <w:szCs w:val="20"/>
      <w:lang w:eastAsia="sr-Latn-RS"/>
    </w:rPr>
  </w:style>
  <w:style w:type="paragraph" w:customStyle="1" w:styleId="v2-spacija-41">
    <w:name w:val="v2-spacija-4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51">
    <w:name w:val="v2-spacija-5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61">
    <w:name w:val="v2-spacija-6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71">
    <w:name w:val="v2-spacija-7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81">
    <w:name w:val="v2-spacija-8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91">
    <w:name w:val="v2-spacija-9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01">
    <w:name w:val="v2-spacija-10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11">
    <w:name w:val="v2-spacija-11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21">
    <w:name w:val="v2-spacija-12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31">
    <w:name w:val="v2-spacija-13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41">
    <w:name w:val="v2-spacija-14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51">
    <w:name w:val="v2-spacija-15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61">
    <w:name w:val="v2-spacija-16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71">
    <w:name w:val="v2-spacija-17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81">
    <w:name w:val="v2-spacija-18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191">
    <w:name w:val="v2-spacija-19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spacija-201">
    <w:name w:val="v2-spacija-201"/>
    <w:basedOn w:val="Normal"/>
    <w:rsid w:val="00DF72E5"/>
    <w:pPr>
      <w:spacing w:after="150"/>
      <w:ind w:firstLine="480"/>
      <w:contextualSpacing w:val="0"/>
      <w:jc w:val="center"/>
    </w:pPr>
    <w:rPr>
      <w:rFonts w:ascii="Verdana" w:eastAsia="Times New Roman" w:hAnsi="Verdana" w:cs="Arial"/>
      <w:noProof w:val="0"/>
      <w:spacing w:val="18"/>
      <w:sz w:val="20"/>
      <w:szCs w:val="20"/>
      <w:lang w:eastAsia="sr-Latn-RS"/>
    </w:rPr>
  </w:style>
  <w:style w:type="paragraph" w:customStyle="1" w:styleId="v2-clan-41">
    <w:name w:val="v2-clan-4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51">
    <w:name w:val="v2-clan-5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61">
    <w:name w:val="v2-clan-6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71">
    <w:name w:val="v2-clan-7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81">
    <w:name w:val="v2-clan-8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91">
    <w:name w:val="v2-clan-9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01">
    <w:name w:val="v2-clan-10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11">
    <w:name w:val="v2-clan-11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21">
    <w:name w:val="v2-clan-12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31">
    <w:name w:val="v2-clan-13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41">
    <w:name w:val="v2-clan-14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51">
    <w:name w:val="v2-clan-15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61">
    <w:name w:val="v2-clan-16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71">
    <w:name w:val="v2-clan-17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81">
    <w:name w:val="v2-clan-18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191">
    <w:name w:val="v2-clan-19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clan-201">
    <w:name w:val="v2-clan-201"/>
    <w:basedOn w:val="Normal"/>
    <w:rsid w:val="00DF72E5"/>
    <w:pPr>
      <w:spacing w:before="420" w:after="150"/>
      <w:ind w:firstLine="480"/>
      <w:contextualSpacing w:val="0"/>
      <w:jc w:val="center"/>
    </w:pPr>
    <w:rPr>
      <w:rFonts w:ascii="Verdana" w:eastAsia="Times New Roman" w:hAnsi="Verdana" w:cs="Arial"/>
      <w:noProof w:val="0"/>
      <w:sz w:val="20"/>
      <w:szCs w:val="20"/>
      <w:lang w:eastAsia="sr-Latn-RS"/>
    </w:rPr>
  </w:style>
  <w:style w:type="paragraph" w:customStyle="1" w:styleId="v2-bold-left-41">
    <w:name w:val="v2-bold-left-4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51">
    <w:name w:val="v2-bold-left-5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61">
    <w:name w:val="v2-bold-left-6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71">
    <w:name w:val="v2-bold-left-7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81">
    <w:name w:val="v2-bold-left-8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91">
    <w:name w:val="v2-bold-left-9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01">
    <w:name w:val="v2-bold-left-10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11">
    <w:name w:val="v2-bold-left-11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21">
    <w:name w:val="v2-bold-left-12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31">
    <w:name w:val="v2-bold-left-13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41">
    <w:name w:val="v2-bold-left-14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51">
    <w:name w:val="v2-bold-left-15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61">
    <w:name w:val="v2-bold-left-16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71">
    <w:name w:val="v2-bold-left-17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81">
    <w:name w:val="v2-bold-left-18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191">
    <w:name w:val="v2-bold-left-19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bold-left-201">
    <w:name w:val="v2-bold-left-201"/>
    <w:basedOn w:val="Normal"/>
    <w:rsid w:val="00DF72E5"/>
    <w:pPr>
      <w:spacing w:after="150"/>
      <w:ind w:firstLine="480"/>
      <w:contextualSpacing w:val="0"/>
    </w:pPr>
    <w:rPr>
      <w:rFonts w:ascii="Verdana" w:eastAsia="Times New Roman" w:hAnsi="Verdana" w:cs="Arial"/>
      <w:b/>
      <w:bCs/>
      <w:noProof w:val="0"/>
      <w:sz w:val="20"/>
      <w:szCs w:val="20"/>
      <w:lang w:eastAsia="sr-Latn-RS"/>
    </w:rPr>
  </w:style>
  <w:style w:type="paragraph" w:customStyle="1" w:styleId="v2-italik-left-41">
    <w:name w:val="v2-italik-left-4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51">
    <w:name w:val="v2-italik-left-5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61">
    <w:name w:val="v2-italik-left-6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71">
    <w:name w:val="v2-italik-left-7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81">
    <w:name w:val="v2-italik-left-8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91">
    <w:name w:val="v2-italik-left-9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01">
    <w:name w:val="v2-italik-left-10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11">
    <w:name w:val="v2-italik-left-11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21">
    <w:name w:val="v2-italik-left-12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31">
    <w:name w:val="v2-italik-left-13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41">
    <w:name w:val="v2-italik-left-14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51">
    <w:name w:val="v2-italik-left-15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61">
    <w:name w:val="v2-italik-left-16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71">
    <w:name w:val="v2-italik-left-17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81">
    <w:name w:val="v2-italik-left-18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191">
    <w:name w:val="v2-italik-left-19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italik-left-201">
    <w:name w:val="v2-italik-left-201"/>
    <w:basedOn w:val="Normal"/>
    <w:rsid w:val="00DF72E5"/>
    <w:pPr>
      <w:spacing w:after="150"/>
      <w:ind w:firstLine="480"/>
      <w:contextualSpacing w:val="0"/>
    </w:pPr>
    <w:rPr>
      <w:rFonts w:ascii="Verdana" w:eastAsia="Times New Roman" w:hAnsi="Verdana" w:cs="Arial"/>
      <w:i/>
      <w:iCs/>
      <w:noProof w:val="0"/>
      <w:sz w:val="20"/>
      <w:szCs w:val="20"/>
      <w:lang w:eastAsia="sr-Latn-RS"/>
    </w:rPr>
  </w:style>
  <w:style w:type="paragraph" w:customStyle="1" w:styleId="v2-spacija-left-41">
    <w:name w:val="v2-spacija-left-4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51">
    <w:name w:val="v2-spacija-left-5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61">
    <w:name w:val="v2-spacija-left-6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71">
    <w:name w:val="v2-spacija-left-7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81">
    <w:name w:val="v2-spacija-left-8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91">
    <w:name w:val="v2-spacija-left-9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01">
    <w:name w:val="v2-spacija-left-10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11">
    <w:name w:val="v2-spacija-left-11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21">
    <w:name w:val="v2-spacija-left-12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31">
    <w:name w:val="v2-spacija-left-13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41">
    <w:name w:val="v2-spacija-left-14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51">
    <w:name w:val="v2-spacija-left-15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61">
    <w:name w:val="v2-spacija-left-16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71">
    <w:name w:val="v2-spacija-left-17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81">
    <w:name w:val="v2-spacija-left-18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191">
    <w:name w:val="v2-spacija-left-19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spacija-left-201">
    <w:name w:val="v2-spacija-left-201"/>
    <w:basedOn w:val="Normal"/>
    <w:rsid w:val="00DF72E5"/>
    <w:pPr>
      <w:spacing w:after="150"/>
      <w:ind w:firstLine="480"/>
      <w:contextualSpacing w:val="0"/>
    </w:pPr>
    <w:rPr>
      <w:rFonts w:ascii="Verdana" w:eastAsia="Times New Roman" w:hAnsi="Verdana" w:cs="Arial"/>
      <w:noProof w:val="0"/>
      <w:spacing w:val="18"/>
      <w:sz w:val="20"/>
      <w:szCs w:val="20"/>
      <w:lang w:eastAsia="sr-Latn-RS"/>
    </w:rPr>
  </w:style>
  <w:style w:type="paragraph" w:customStyle="1" w:styleId="v2-clan-left-111">
    <w:name w:val="v2-clan-left-11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21">
    <w:name w:val="v2-clan-left-12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31">
    <w:name w:val="v2-clan-left-13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41">
    <w:name w:val="v2-clan-left-14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51">
    <w:name w:val="v2-clan-left-15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61">
    <w:name w:val="v2-clan-left-16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71">
    <w:name w:val="v2-clan-left-17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81">
    <w:name w:val="v2-clan-left-18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191">
    <w:name w:val="v2-clan-left-19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v2-clan-left-201">
    <w:name w:val="v2-clan-left-20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unbold-change1">
    <w:name w:val="unbold-change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unitalic-change1">
    <w:name w:val="unitalic-change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hide-change1">
    <w:name w:val="hide-change1"/>
    <w:basedOn w:val="Normal"/>
    <w:rsid w:val="00DF72E5"/>
    <w:pPr>
      <w:spacing w:after="150"/>
      <w:ind w:firstLine="480"/>
      <w:contextualSpacing w:val="0"/>
    </w:pPr>
    <w:rPr>
      <w:rFonts w:ascii="Verdana" w:eastAsia="Times New Roman" w:hAnsi="Verdana" w:cs="Arial"/>
      <w:noProof w:val="0"/>
      <w:vanish/>
      <w:sz w:val="20"/>
      <w:szCs w:val="20"/>
      <w:lang w:eastAsia="sr-Latn-RS"/>
    </w:rPr>
  </w:style>
  <w:style w:type="paragraph" w:customStyle="1" w:styleId="odluka-zakon1">
    <w:name w:val="odluka-zakon1"/>
    <w:basedOn w:val="Normal"/>
    <w:rsid w:val="00DF72E5"/>
    <w:pPr>
      <w:spacing w:before="360" w:after="150"/>
      <w:ind w:firstLine="480"/>
      <w:contextualSpacing w:val="0"/>
      <w:jc w:val="center"/>
    </w:pPr>
    <w:rPr>
      <w:rFonts w:ascii="Verdana" w:eastAsia="Times New Roman" w:hAnsi="Verdana" w:cs="Arial"/>
      <w:b/>
      <w:bCs/>
      <w:noProof w:val="0"/>
      <w:sz w:val="20"/>
      <w:szCs w:val="20"/>
      <w:u w:val="single"/>
      <w:lang w:eastAsia="sr-Latn-RS"/>
    </w:rPr>
  </w:style>
  <w:style w:type="paragraph" w:customStyle="1" w:styleId="act-menu-item1">
    <w:name w:val="act-menu-item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odluka-zakon2">
    <w:name w:val="odluka-zakon2"/>
    <w:basedOn w:val="Normal"/>
    <w:rsid w:val="00DF72E5"/>
    <w:pPr>
      <w:spacing w:before="30" w:after="30"/>
      <w:ind w:left="30" w:right="30" w:firstLine="480"/>
      <w:contextualSpacing w:val="0"/>
      <w:jc w:val="center"/>
    </w:pPr>
    <w:rPr>
      <w:rFonts w:ascii="Verdana" w:eastAsia="Times New Roman" w:hAnsi="Verdana" w:cs="Arial"/>
      <w:noProof w:val="0"/>
      <w:color w:val="0000FF"/>
      <w:sz w:val="20"/>
      <w:szCs w:val="20"/>
      <w:lang w:eastAsia="sr-Latn-RS"/>
    </w:rPr>
  </w:style>
  <w:style w:type="paragraph" w:customStyle="1" w:styleId="naslov1">
    <w:name w:val="naslov1"/>
    <w:basedOn w:val="Normal"/>
    <w:rsid w:val="00DF72E5"/>
    <w:pPr>
      <w:spacing w:before="30" w:after="30"/>
      <w:ind w:left="30" w:right="30" w:firstLine="480"/>
      <w:contextualSpacing w:val="0"/>
      <w:jc w:val="center"/>
    </w:pPr>
    <w:rPr>
      <w:rFonts w:ascii="Verdana" w:eastAsia="Times New Roman" w:hAnsi="Verdana" w:cs="Arial"/>
      <w:noProof w:val="0"/>
      <w:color w:val="0000FF"/>
      <w:sz w:val="20"/>
      <w:szCs w:val="20"/>
      <w:lang w:eastAsia="sr-Latn-RS"/>
    </w:rPr>
  </w:style>
  <w:style w:type="paragraph" w:customStyle="1" w:styleId="clan1">
    <w:name w:val="clan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italik1">
    <w:name w:val="italik1"/>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v2-underline2">
    <w:name w:val="v2-underline2"/>
    <w:basedOn w:val="Normal"/>
    <w:rsid w:val="00DF72E5"/>
    <w:pPr>
      <w:spacing w:before="30" w:after="30"/>
      <w:ind w:left="30" w:right="30" w:firstLine="480"/>
      <w:contextualSpacing w:val="0"/>
    </w:pPr>
    <w:rPr>
      <w:rFonts w:ascii="Verdana" w:eastAsia="Times New Roman" w:hAnsi="Verdana" w:cs="Arial"/>
      <w:noProof w:val="0"/>
      <w:color w:val="0000FF"/>
      <w:sz w:val="20"/>
      <w:szCs w:val="20"/>
      <w:lang w:eastAsia="sr-Latn-RS"/>
    </w:rPr>
  </w:style>
  <w:style w:type="paragraph" w:customStyle="1" w:styleId="bold1">
    <w:name w:val="bold1"/>
    <w:basedOn w:val="Normal"/>
    <w:rsid w:val="00DF72E5"/>
    <w:pPr>
      <w:spacing w:before="30" w:after="30"/>
      <w:ind w:left="240" w:right="30" w:firstLine="480"/>
      <w:contextualSpacing w:val="0"/>
    </w:pPr>
    <w:rPr>
      <w:rFonts w:ascii="Verdana" w:eastAsia="Times New Roman" w:hAnsi="Verdana" w:cs="Arial"/>
      <w:noProof w:val="0"/>
      <w:color w:val="0000FF"/>
      <w:sz w:val="20"/>
      <w:szCs w:val="20"/>
      <w:lang w:eastAsia="sr-Latn-RS"/>
    </w:rPr>
  </w:style>
  <w:style w:type="paragraph" w:customStyle="1" w:styleId="clan-margin1">
    <w:name w:val="clan-margin1"/>
    <w:basedOn w:val="Normal"/>
    <w:rsid w:val="00DF72E5"/>
    <w:pPr>
      <w:spacing w:after="150"/>
      <w:ind w:left="720" w:firstLine="480"/>
      <w:contextualSpacing w:val="0"/>
    </w:pPr>
    <w:rPr>
      <w:rFonts w:ascii="Verdana" w:eastAsia="Times New Roman" w:hAnsi="Verdana" w:cs="Arial"/>
      <w:noProof w:val="0"/>
      <w:sz w:val="20"/>
      <w:szCs w:val="20"/>
      <w:lang w:eastAsia="sr-Latn-RS"/>
    </w:rPr>
  </w:style>
  <w:style w:type="paragraph" w:customStyle="1" w:styleId="panel1">
    <w:name w:val="panel1"/>
    <w:basedOn w:val="Normal"/>
    <w:rsid w:val="00DF72E5"/>
    <w:pPr>
      <w:shd w:val="clear" w:color="auto" w:fill="FFFFFF"/>
      <w:ind w:firstLine="480"/>
      <w:contextualSpacing w:val="0"/>
    </w:pPr>
    <w:rPr>
      <w:rFonts w:ascii="Verdana" w:eastAsia="Times New Roman" w:hAnsi="Verdana" w:cs="Arial"/>
      <w:noProof w:val="0"/>
      <w:sz w:val="20"/>
      <w:szCs w:val="20"/>
      <w:lang w:eastAsia="sr-Latn-RS"/>
    </w:rPr>
  </w:style>
  <w:style w:type="paragraph" w:customStyle="1" w:styleId="panel-heading1">
    <w:name w:val="panel-heading1"/>
    <w:basedOn w:val="Normal"/>
    <w:rsid w:val="00DF72E5"/>
    <w:pPr>
      <w:spacing w:after="150"/>
      <w:ind w:firstLine="480"/>
      <w:contextualSpacing w:val="0"/>
    </w:pPr>
    <w:rPr>
      <w:rFonts w:ascii="Verdana" w:eastAsia="Times New Roman" w:hAnsi="Verdana" w:cs="Arial"/>
      <w:noProof w:val="0"/>
      <w:sz w:val="20"/>
      <w:szCs w:val="20"/>
      <w:lang w:eastAsia="sr-Latn-RS"/>
    </w:rPr>
  </w:style>
  <w:style w:type="paragraph" w:customStyle="1" w:styleId="basic-paragraph">
    <w:name w:val="basic-paragraph"/>
    <w:basedOn w:val="Normal"/>
    <w:rsid w:val="00DF72E5"/>
    <w:pPr>
      <w:spacing w:after="150"/>
      <w:ind w:firstLine="480"/>
      <w:contextualSpacing w:val="0"/>
    </w:pPr>
    <w:rPr>
      <w:rFonts w:ascii="Verdana" w:eastAsia="Times New Roman" w:hAnsi="Verdana" w:cs="Arial"/>
      <w:noProof w:val="0"/>
      <w:sz w:val="20"/>
      <w:szCs w:val="20"/>
      <w:lang w:eastAsia="sr-Latn-RS"/>
    </w:rPr>
  </w:style>
  <w:style w:type="character" w:customStyle="1" w:styleId="bold2">
    <w:name w:val="bold2"/>
    <w:basedOn w:val="DefaultParagraphFont"/>
    <w:rsid w:val="00DF72E5"/>
    <w:rPr>
      <w:b/>
      <w:bCs/>
    </w:rPr>
  </w:style>
  <w:style w:type="character" w:customStyle="1" w:styleId="italik2">
    <w:name w:val="italik2"/>
    <w:basedOn w:val="DefaultParagraphFont"/>
    <w:rsid w:val="00DF72E5"/>
    <w:rPr>
      <w:i/>
      <w:iCs/>
    </w:rPr>
  </w:style>
  <w:style w:type="numbering" w:customStyle="1" w:styleId="NoList7">
    <w:name w:val="No List7"/>
    <w:next w:val="NoList"/>
    <w:uiPriority w:val="99"/>
    <w:semiHidden/>
    <w:unhideWhenUsed/>
    <w:rsid w:val="00B75805"/>
  </w:style>
  <w:style w:type="paragraph" w:customStyle="1" w:styleId="tabela">
    <w:name w:val="tabela"/>
    <w:basedOn w:val="Normal"/>
    <w:rsid w:val="00B75805"/>
    <w:pPr>
      <w:spacing w:before="100" w:beforeAutospacing="1" w:after="100" w:afterAutospacing="1"/>
      <w:contextualSpacing w:val="0"/>
    </w:pPr>
    <w:rPr>
      <w:rFonts w:ascii="Arial" w:eastAsia="Times New Roman" w:hAnsi="Arial" w:cs="Arial"/>
      <w:noProof w:val="0"/>
      <w:sz w:val="20"/>
      <w:szCs w:val="20"/>
      <w:lang w:eastAsia="sr-Latn-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464921">
      <w:bodyDiv w:val="1"/>
      <w:marLeft w:val="0"/>
      <w:marRight w:val="0"/>
      <w:marTop w:val="0"/>
      <w:marBottom w:val="0"/>
      <w:divBdr>
        <w:top w:val="none" w:sz="0" w:space="0" w:color="auto"/>
        <w:left w:val="none" w:sz="0" w:space="0" w:color="auto"/>
        <w:bottom w:val="none" w:sz="0" w:space="0" w:color="auto"/>
        <w:right w:val="none" w:sz="0" w:space="0" w:color="auto"/>
      </w:divBdr>
    </w:div>
    <w:div w:id="245463874">
      <w:bodyDiv w:val="1"/>
      <w:marLeft w:val="0"/>
      <w:marRight w:val="0"/>
      <w:marTop w:val="0"/>
      <w:marBottom w:val="0"/>
      <w:divBdr>
        <w:top w:val="none" w:sz="0" w:space="0" w:color="auto"/>
        <w:left w:val="none" w:sz="0" w:space="0" w:color="auto"/>
        <w:bottom w:val="none" w:sz="0" w:space="0" w:color="auto"/>
        <w:right w:val="none" w:sz="0" w:space="0" w:color="auto"/>
      </w:divBdr>
    </w:div>
    <w:div w:id="319236851">
      <w:bodyDiv w:val="1"/>
      <w:marLeft w:val="0"/>
      <w:marRight w:val="0"/>
      <w:marTop w:val="0"/>
      <w:marBottom w:val="0"/>
      <w:divBdr>
        <w:top w:val="none" w:sz="0" w:space="0" w:color="auto"/>
        <w:left w:val="none" w:sz="0" w:space="0" w:color="auto"/>
        <w:bottom w:val="none" w:sz="0" w:space="0" w:color="auto"/>
        <w:right w:val="none" w:sz="0" w:space="0" w:color="auto"/>
      </w:divBdr>
    </w:div>
    <w:div w:id="508328260">
      <w:bodyDiv w:val="1"/>
      <w:marLeft w:val="0"/>
      <w:marRight w:val="0"/>
      <w:marTop w:val="0"/>
      <w:marBottom w:val="0"/>
      <w:divBdr>
        <w:top w:val="none" w:sz="0" w:space="0" w:color="auto"/>
        <w:left w:val="none" w:sz="0" w:space="0" w:color="auto"/>
        <w:bottom w:val="none" w:sz="0" w:space="0" w:color="auto"/>
        <w:right w:val="none" w:sz="0" w:space="0" w:color="auto"/>
      </w:divBdr>
    </w:div>
    <w:div w:id="683170633">
      <w:bodyDiv w:val="1"/>
      <w:marLeft w:val="0"/>
      <w:marRight w:val="0"/>
      <w:marTop w:val="0"/>
      <w:marBottom w:val="0"/>
      <w:divBdr>
        <w:top w:val="none" w:sz="0" w:space="0" w:color="auto"/>
        <w:left w:val="none" w:sz="0" w:space="0" w:color="auto"/>
        <w:bottom w:val="none" w:sz="0" w:space="0" w:color="auto"/>
        <w:right w:val="none" w:sz="0" w:space="0" w:color="auto"/>
      </w:divBdr>
    </w:div>
    <w:div w:id="945816123">
      <w:bodyDiv w:val="1"/>
      <w:marLeft w:val="0"/>
      <w:marRight w:val="0"/>
      <w:marTop w:val="0"/>
      <w:marBottom w:val="0"/>
      <w:divBdr>
        <w:top w:val="none" w:sz="0" w:space="0" w:color="auto"/>
        <w:left w:val="none" w:sz="0" w:space="0" w:color="auto"/>
        <w:bottom w:val="none" w:sz="0" w:space="0" w:color="auto"/>
        <w:right w:val="none" w:sz="0" w:space="0" w:color="auto"/>
      </w:divBdr>
    </w:div>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 w:id="1082487351">
      <w:bodyDiv w:val="1"/>
      <w:marLeft w:val="0"/>
      <w:marRight w:val="0"/>
      <w:marTop w:val="0"/>
      <w:marBottom w:val="0"/>
      <w:divBdr>
        <w:top w:val="none" w:sz="0" w:space="0" w:color="auto"/>
        <w:left w:val="none" w:sz="0" w:space="0" w:color="auto"/>
        <w:bottom w:val="none" w:sz="0" w:space="0" w:color="auto"/>
        <w:right w:val="none" w:sz="0" w:space="0" w:color="auto"/>
      </w:divBdr>
    </w:div>
    <w:div w:id="1258559627">
      <w:bodyDiv w:val="1"/>
      <w:marLeft w:val="0"/>
      <w:marRight w:val="0"/>
      <w:marTop w:val="0"/>
      <w:marBottom w:val="0"/>
      <w:divBdr>
        <w:top w:val="none" w:sz="0" w:space="0" w:color="auto"/>
        <w:left w:val="none" w:sz="0" w:space="0" w:color="auto"/>
        <w:bottom w:val="none" w:sz="0" w:space="0" w:color="auto"/>
        <w:right w:val="none" w:sz="0" w:space="0" w:color="auto"/>
      </w:divBdr>
    </w:div>
    <w:div w:id="1395735211">
      <w:bodyDiv w:val="1"/>
      <w:marLeft w:val="0"/>
      <w:marRight w:val="0"/>
      <w:marTop w:val="0"/>
      <w:marBottom w:val="0"/>
      <w:divBdr>
        <w:top w:val="none" w:sz="0" w:space="0" w:color="auto"/>
        <w:left w:val="none" w:sz="0" w:space="0" w:color="auto"/>
        <w:bottom w:val="none" w:sz="0" w:space="0" w:color="auto"/>
        <w:right w:val="none" w:sz="0" w:space="0" w:color="auto"/>
      </w:divBdr>
    </w:div>
    <w:div w:id="1625309703">
      <w:bodyDiv w:val="1"/>
      <w:marLeft w:val="0"/>
      <w:marRight w:val="0"/>
      <w:marTop w:val="0"/>
      <w:marBottom w:val="0"/>
      <w:divBdr>
        <w:top w:val="none" w:sz="0" w:space="0" w:color="auto"/>
        <w:left w:val="none" w:sz="0" w:space="0" w:color="auto"/>
        <w:bottom w:val="none" w:sz="0" w:space="0" w:color="auto"/>
        <w:right w:val="none" w:sz="0" w:space="0" w:color="auto"/>
      </w:divBdr>
    </w:div>
    <w:div w:id="1952079587">
      <w:bodyDiv w:val="1"/>
      <w:marLeft w:val="0"/>
      <w:marRight w:val="0"/>
      <w:marTop w:val="0"/>
      <w:marBottom w:val="0"/>
      <w:divBdr>
        <w:top w:val="none" w:sz="0" w:space="0" w:color="auto"/>
        <w:left w:val="none" w:sz="0" w:space="0" w:color="auto"/>
        <w:bottom w:val="none" w:sz="0" w:space="0" w:color="auto"/>
        <w:right w:val="none" w:sz="0" w:space="0" w:color="auto"/>
      </w:divBdr>
      <w:divsChild>
        <w:div w:id="963585652">
          <w:marLeft w:val="0"/>
          <w:marRight w:val="0"/>
          <w:marTop w:val="0"/>
          <w:marBottom w:val="0"/>
          <w:divBdr>
            <w:top w:val="none" w:sz="0" w:space="0" w:color="auto"/>
            <w:left w:val="none" w:sz="0" w:space="0" w:color="auto"/>
            <w:bottom w:val="none" w:sz="0" w:space="0" w:color="auto"/>
            <w:right w:val="none" w:sz="0" w:space="0" w:color="auto"/>
          </w:divBdr>
          <w:divsChild>
            <w:div w:id="1846433459">
              <w:marLeft w:val="0"/>
              <w:marRight w:val="0"/>
              <w:marTop w:val="0"/>
              <w:marBottom w:val="0"/>
              <w:divBdr>
                <w:top w:val="none" w:sz="0" w:space="0" w:color="auto"/>
                <w:left w:val="none" w:sz="0" w:space="0" w:color="auto"/>
                <w:bottom w:val="none" w:sz="0" w:space="0" w:color="auto"/>
                <w:right w:val="none" w:sz="0" w:space="0" w:color="auto"/>
              </w:divBdr>
            </w:div>
          </w:divsChild>
        </w:div>
        <w:div w:id="1569724203">
          <w:marLeft w:val="0"/>
          <w:marRight w:val="0"/>
          <w:marTop w:val="0"/>
          <w:marBottom w:val="0"/>
          <w:divBdr>
            <w:top w:val="none" w:sz="0" w:space="0" w:color="auto"/>
            <w:left w:val="none" w:sz="0" w:space="0" w:color="auto"/>
            <w:bottom w:val="none" w:sz="0" w:space="0" w:color="auto"/>
            <w:right w:val="none" w:sz="0" w:space="0" w:color="auto"/>
          </w:divBdr>
          <w:divsChild>
            <w:div w:id="1320575422">
              <w:marLeft w:val="0"/>
              <w:marRight w:val="0"/>
              <w:marTop w:val="0"/>
              <w:marBottom w:val="0"/>
              <w:divBdr>
                <w:top w:val="none" w:sz="0" w:space="0" w:color="auto"/>
                <w:left w:val="none" w:sz="0" w:space="0" w:color="auto"/>
                <w:bottom w:val="none" w:sz="0" w:space="0" w:color="auto"/>
                <w:right w:val="none" w:sz="0" w:space="0" w:color="auto"/>
              </w:divBdr>
            </w:div>
          </w:divsChild>
        </w:div>
        <w:div w:id="330135661">
          <w:marLeft w:val="0"/>
          <w:marRight w:val="0"/>
          <w:marTop w:val="0"/>
          <w:marBottom w:val="0"/>
          <w:divBdr>
            <w:top w:val="none" w:sz="0" w:space="0" w:color="auto"/>
            <w:left w:val="none" w:sz="0" w:space="0" w:color="auto"/>
            <w:bottom w:val="none" w:sz="0" w:space="0" w:color="auto"/>
            <w:right w:val="none" w:sz="0" w:space="0" w:color="auto"/>
          </w:divBdr>
          <w:divsChild>
            <w:div w:id="44349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111.bmp"/><Relationship Id="rId21" Type="http://schemas.openxmlformats.org/officeDocument/2006/relationships/image" Target="media/image15.bmp"/><Relationship Id="rId42" Type="http://schemas.openxmlformats.org/officeDocument/2006/relationships/image" Target="media/image36.bmp"/><Relationship Id="rId63" Type="http://schemas.openxmlformats.org/officeDocument/2006/relationships/image" Target="media/image57.bmp"/><Relationship Id="rId84" Type="http://schemas.openxmlformats.org/officeDocument/2006/relationships/image" Target="media/image78.bmp"/><Relationship Id="rId138" Type="http://schemas.openxmlformats.org/officeDocument/2006/relationships/image" Target="media/image132.bmp"/><Relationship Id="rId159" Type="http://schemas.openxmlformats.org/officeDocument/2006/relationships/image" Target="media/image153.bmp"/><Relationship Id="rId170" Type="http://schemas.openxmlformats.org/officeDocument/2006/relationships/image" Target="media/image164.bmp"/><Relationship Id="rId191" Type="http://schemas.openxmlformats.org/officeDocument/2006/relationships/image" Target="media/image185.bmp"/><Relationship Id="rId107" Type="http://schemas.openxmlformats.org/officeDocument/2006/relationships/image" Target="media/image101.bmp"/><Relationship Id="rId11" Type="http://schemas.openxmlformats.org/officeDocument/2006/relationships/image" Target="media/image5.bmp"/><Relationship Id="rId32" Type="http://schemas.openxmlformats.org/officeDocument/2006/relationships/image" Target="media/image26.bmp"/><Relationship Id="rId53" Type="http://schemas.openxmlformats.org/officeDocument/2006/relationships/image" Target="media/image47.bmp"/><Relationship Id="rId74" Type="http://schemas.openxmlformats.org/officeDocument/2006/relationships/image" Target="media/image68.bmp"/><Relationship Id="rId128" Type="http://schemas.openxmlformats.org/officeDocument/2006/relationships/image" Target="media/image122.bmp"/><Relationship Id="rId149" Type="http://schemas.openxmlformats.org/officeDocument/2006/relationships/image" Target="media/image143.bmp"/><Relationship Id="rId5" Type="http://schemas.openxmlformats.org/officeDocument/2006/relationships/footnotes" Target="footnotes.xml"/><Relationship Id="rId95" Type="http://schemas.openxmlformats.org/officeDocument/2006/relationships/image" Target="media/image89.bmp"/><Relationship Id="rId160" Type="http://schemas.openxmlformats.org/officeDocument/2006/relationships/image" Target="media/image154.bmp"/><Relationship Id="rId181" Type="http://schemas.openxmlformats.org/officeDocument/2006/relationships/image" Target="media/image175.bmp"/><Relationship Id="rId22" Type="http://schemas.openxmlformats.org/officeDocument/2006/relationships/image" Target="media/image16.bmp"/><Relationship Id="rId43" Type="http://schemas.openxmlformats.org/officeDocument/2006/relationships/image" Target="media/image37.bmp"/><Relationship Id="rId64" Type="http://schemas.openxmlformats.org/officeDocument/2006/relationships/image" Target="media/image58.bmp"/><Relationship Id="rId118" Type="http://schemas.openxmlformats.org/officeDocument/2006/relationships/image" Target="media/image112.bmp"/><Relationship Id="rId139" Type="http://schemas.openxmlformats.org/officeDocument/2006/relationships/image" Target="media/image133.bmp"/><Relationship Id="rId85" Type="http://schemas.openxmlformats.org/officeDocument/2006/relationships/image" Target="media/image79.bmp"/><Relationship Id="rId150" Type="http://schemas.openxmlformats.org/officeDocument/2006/relationships/image" Target="media/image144.bmp"/><Relationship Id="rId171" Type="http://schemas.openxmlformats.org/officeDocument/2006/relationships/image" Target="media/image165.bmp"/><Relationship Id="rId192" Type="http://schemas.openxmlformats.org/officeDocument/2006/relationships/image" Target="media/image186.bmp"/><Relationship Id="rId12" Type="http://schemas.openxmlformats.org/officeDocument/2006/relationships/image" Target="media/image6.bmp"/><Relationship Id="rId33" Type="http://schemas.openxmlformats.org/officeDocument/2006/relationships/image" Target="media/image27.bmp"/><Relationship Id="rId108" Type="http://schemas.openxmlformats.org/officeDocument/2006/relationships/image" Target="media/image102.bmp"/><Relationship Id="rId129" Type="http://schemas.openxmlformats.org/officeDocument/2006/relationships/image" Target="media/image123.bmp"/><Relationship Id="rId54" Type="http://schemas.openxmlformats.org/officeDocument/2006/relationships/image" Target="media/image48.bmp"/><Relationship Id="rId75" Type="http://schemas.openxmlformats.org/officeDocument/2006/relationships/image" Target="media/image69.bmp"/><Relationship Id="rId96" Type="http://schemas.openxmlformats.org/officeDocument/2006/relationships/image" Target="media/image90.bmp"/><Relationship Id="rId140" Type="http://schemas.openxmlformats.org/officeDocument/2006/relationships/image" Target="media/image134.bmp"/><Relationship Id="rId161" Type="http://schemas.openxmlformats.org/officeDocument/2006/relationships/image" Target="media/image155.bmp"/><Relationship Id="rId182" Type="http://schemas.openxmlformats.org/officeDocument/2006/relationships/image" Target="media/image176.bmp"/><Relationship Id="rId6" Type="http://schemas.openxmlformats.org/officeDocument/2006/relationships/endnotes" Target="endnotes.xml"/><Relationship Id="rId23" Type="http://schemas.openxmlformats.org/officeDocument/2006/relationships/image" Target="media/image17.bmp"/><Relationship Id="rId119" Type="http://schemas.openxmlformats.org/officeDocument/2006/relationships/image" Target="media/image113.bmp"/><Relationship Id="rId44" Type="http://schemas.openxmlformats.org/officeDocument/2006/relationships/image" Target="media/image38.bmp"/><Relationship Id="rId65" Type="http://schemas.openxmlformats.org/officeDocument/2006/relationships/image" Target="media/image59.bmp"/><Relationship Id="rId86" Type="http://schemas.openxmlformats.org/officeDocument/2006/relationships/image" Target="media/image80.bmp"/><Relationship Id="rId130" Type="http://schemas.openxmlformats.org/officeDocument/2006/relationships/image" Target="media/image124.bmp"/><Relationship Id="rId151" Type="http://schemas.openxmlformats.org/officeDocument/2006/relationships/image" Target="media/image145.bmp"/><Relationship Id="rId172" Type="http://schemas.openxmlformats.org/officeDocument/2006/relationships/image" Target="media/image166.bmp"/><Relationship Id="rId193" Type="http://schemas.openxmlformats.org/officeDocument/2006/relationships/image" Target="media/image187.bmp"/><Relationship Id="rId13" Type="http://schemas.openxmlformats.org/officeDocument/2006/relationships/image" Target="media/image7.bmp"/><Relationship Id="rId109" Type="http://schemas.openxmlformats.org/officeDocument/2006/relationships/image" Target="media/image103.bmp"/><Relationship Id="rId34" Type="http://schemas.openxmlformats.org/officeDocument/2006/relationships/image" Target="media/image28.bmp"/><Relationship Id="rId55" Type="http://schemas.openxmlformats.org/officeDocument/2006/relationships/image" Target="media/image49.bmp"/><Relationship Id="rId76" Type="http://schemas.openxmlformats.org/officeDocument/2006/relationships/image" Target="media/image70.bmp"/><Relationship Id="rId97" Type="http://schemas.openxmlformats.org/officeDocument/2006/relationships/image" Target="media/image91.bmp"/><Relationship Id="rId120" Type="http://schemas.openxmlformats.org/officeDocument/2006/relationships/image" Target="media/image114.bmp"/><Relationship Id="rId141" Type="http://schemas.openxmlformats.org/officeDocument/2006/relationships/image" Target="media/image135.bmp"/><Relationship Id="rId7" Type="http://schemas.openxmlformats.org/officeDocument/2006/relationships/image" Target="media/image1.png"/><Relationship Id="rId71" Type="http://schemas.openxmlformats.org/officeDocument/2006/relationships/image" Target="media/image65.bmp"/><Relationship Id="rId92" Type="http://schemas.openxmlformats.org/officeDocument/2006/relationships/image" Target="media/image86.bmp"/><Relationship Id="rId162" Type="http://schemas.openxmlformats.org/officeDocument/2006/relationships/image" Target="media/image156.bmp"/><Relationship Id="rId183" Type="http://schemas.openxmlformats.org/officeDocument/2006/relationships/image" Target="media/image177.bmp"/><Relationship Id="rId2" Type="http://schemas.openxmlformats.org/officeDocument/2006/relationships/styles" Target="styles.xml"/><Relationship Id="rId29" Type="http://schemas.openxmlformats.org/officeDocument/2006/relationships/image" Target="media/image23.bmp"/><Relationship Id="rId24" Type="http://schemas.openxmlformats.org/officeDocument/2006/relationships/image" Target="media/image18.bmp"/><Relationship Id="rId40" Type="http://schemas.openxmlformats.org/officeDocument/2006/relationships/image" Target="media/image34.bmp"/><Relationship Id="rId45" Type="http://schemas.openxmlformats.org/officeDocument/2006/relationships/image" Target="media/image39.bmp"/><Relationship Id="rId66" Type="http://schemas.openxmlformats.org/officeDocument/2006/relationships/image" Target="media/image60.bmp"/><Relationship Id="rId87" Type="http://schemas.openxmlformats.org/officeDocument/2006/relationships/image" Target="media/image81.bmp"/><Relationship Id="rId110" Type="http://schemas.openxmlformats.org/officeDocument/2006/relationships/image" Target="media/image104.bmp"/><Relationship Id="rId115" Type="http://schemas.openxmlformats.org/officeDocument/2006/relationships/image" Target="media/image109.bmp"/><Relationship Id="rId131" Type="http://schemas.openxmlformats.org/officeDocument/2006/relationships/image" Target="media/image125.bmp"/><Relationship Id="rId136" Type="http://schemas.openxmlformats.org/officeDocument/2006/relationships/image" Target="media/image130.bmp"/><Relationship Id="rId157" Type="http://schemas.openxmlformats.org/officeDocument/2006/relationships/image" Target="media/image151.bmp"/><Relationship Id="rId178" Type="http://schemas.openxmlformats.org/officeDocument/2006/relationships/image" Target="media/image172.bmp"/><Relationship Id="rId61" Type="http://schemas.openxmlformats.org/officeDocument/2006/relationships/image" Target="media/image55.bmp"/><Relationship Id="rId82" Type="http://schemas.openxmlformats.org/officeDocument/2006/relationships/image" Target="media/image76.bmp"/><Relationship Id="rId152" Type="http://schemas.openxmlformats.org/officeDocument/2006/relationships/image" Target="media/image146.bmp"/><Relationship Id="rId173" Type="http://schemas.openxmlformats.org/officeDocument/2006/relationships/image" Target="media/image167.bmp"/><Relationship Id="rId194" Type="http://schemas.openxmlformats.org/officeDocument/2006/relationships/image" Target="media/image188.bmp"/><Relationship Id="rId19" Type="http://schemas.openxmlformats.org/officeDocument/2006/relationships/image" Target="media/image13.bmp"/><Relationship Id="rId14" Type="http://schemas.openxmlformats.org/officeDocument/2006/relationships/image" Target="media/image8.bmp"/><Relationship Id="rId30" Type="http://schemas.openxmlformats.org/officeDocument/2006/relationships/image" Target="media/image24.bmp"/><Relationship Id="rId35" Type="http://schemas.openxmlformats.org/officeDocument/2006/relationships/image" Target="media/image29.bmp"/><Relationship Id="rId56" Type="http://schemas.openxmlformats.org/officeDocument/2006/relationships/image" Target="media/image50.bmp"/><Relationship Id="rId77" Type="http://schemas.openxmlformats.org/officeDocument/2006/relationships/image" Target="media/image71.bmp"/><Relationship Id="rId100" Type="http://schemas.openxmlformats.org/officeDocument/2006/relationships/image" Target="media/image94.bmp"/><Relationship Id="rId105" Type="http://schemas.openxmlformats.org/officeDocument/2006/relationships/image" Target="media/image99.bmp"/><Relationship Id="rId126" Type="http://schemas.openxmlformats.org/officeDocument/2006/relationships/image" Target="media/image120.bmp"/><Relationship Id="rId147" Type="http://schemas.openxmlformats.org/officeDocument/2006/relationships/image" Target="media/image141.bmp"/><Relationship Id="rId168" Type="http://schemas.openxmlformats.org/officeDocument/2006/relationships/image" Target="media/image162.bmp"/><Relationship Id="rId8" Type="http://schemas.openxmlformats.org/officeDocument/2006/relationships/image" Target="media/image2.bmp"/><Relationship Id="rId51" Type="http://schemas.openxmlformats.org/officeDocument/2006/relationships/image" Target="media/image45.bmp"/><Relationship Id="rId72" Type="http://schemas.openxmlformats.org/officeDocument/2006/relationships/image" Target="media/image66.bmp"/><Relationship Id="rId93" Type="http://schemas.openxmlformats.org/officeDocument/2006/relationships/image" Target="media/image87.bmp"/><Relationship Id="rId98" Type="http://schemas.openxmlformats.org/officeDocument/2006/relationships/image" Target="media/image92.bmp"/><Relationship Id="rId121" Type="http://schemas.openxmlformats.org/officeDocument/2006/relationships/image" Target="media/image115.bmp"/><Relationship Id="rId142" Type="http://schemas.openxmlformats.org/officeDocument/2006/relationships/image" Target="media/image136.bmp"/><Relationship Id="rId163" Type="http://schemas.openxmlformats.org/officeDocument/2006/relationships/image" Target="media/image157.bmp"/><Relationship Id="rId184" Type="http://schemas.openxmlformats.org/officeDocument/2006/relationships/image" Target="media/image178.bmp"/><Relationship Id="rId189" Type="http://schemas.openxmlformats.org/officeDocument/2006/relationships/image" Target="media/image183.bmp"/><Relationship Id="rId3" Type="http://schemas.openxmlformats.org/officeDocument/2006/relationships/settings" Target="settings.xml"/><Relationship Id="rId25" Type="http://schemas.openxmlformats.org/officeDocument/2006/relationships/image" Target="media/image19.bmp"/><Relationship Id="rId46" Type="http://schemas.openxmlformats.org/officeDocument/2006/relationships/image" Target="media/image40.bmp"/><Relationship Id="rId67" Type="http://schemas.openxmlformats.org/officeDocument/2006/relationships/image" Target="media/image61.bmp"/><Relationship Id="rId116" Type="http://schemas.openxmlformats.org/officeDocument/2006/relationships/image" Target="media/image110.bmp"/><Relationship Id="rId137" Type="http://schemas.openxmlformats.org/officeDocument/2006/relationships/image" Target="media/image131.bmp"/><Relationship Id="rId158" Type="http://schemas.openxmlformats.org/officeDocument/2006/relationships/image" Target="media/image152.bmp"/><Relationship Id="rId20" Type="http://schemas.openxmlformats.org/officeDocument/2006/relationships/image" Target="media/image14.bmp"/><Relationship Id="rId41" Type="http://schemas.openxmlformats.org/officeDocument/2006/relationships/image" Target="media/image35.bmp"/><Relationship Id="rId62" Type="http://schemas.openxmlformats.org/officeDocument/2006/relationships/image" Target="media/image56.bmp"/><Relationship Id="rId83" Type="http://schemas.openxmlformats.org/officeDocument/2006/relationships/image" Target="media/image77.bmp"/><Relationship Id="rId88" Type="http://schemas.openxmlformats.org/officeDocument/2006/relationships/image" Target="media/image82.bmp"/><Relationship Id="rId111" Type="http://schemas.openxmlformats.org/officeDocument/2006/relationships/image" Target="media/image105.bmp"/><Relationship Id="rId132" Type="http://schemas.openxmlformats.org/officeDocument/2006/relationships/image" Target="media/image126.bmp"/><Relationship Id="rId153" Type="http://schemas.openxmlformats.org/officeDocument/2006/relationships/image" Target="media/image147.bmp"/><Relationship Id="rId174" Type="http://schemas.openxmlformats.org/officeDocument/2006/relationships/image" Target="media/image168.bmp"/><Relationship Id="rId179" Type="http://schemas.openxmlformats.org/officeDocument/2006/relationships/image" Target="media/image173.bmp"/><Relationship Id="rId195" Type="http://schemas.openxmlformats.org/officeDocument/2006/relationships/footer" Target="footer1.xml"/><Relationship Id="rId190" Type="http://schemas.openxmlformats.org/officeDocument/2006/relationships/image" Target="media/image184.bmp"/><Relationship Id="rId15" Type="http://schemas.openxmlformats.org/officeDocument/2006/relationships/image" Target="media/image9.bmp"/><Relationship Id="rId36" Type="http://schemas.openxmlformats.org/officeDocument/2006/relationships/image" Target="media/image30.bmp"/><Relationship Id="rId57" Type="http://schemas.openxmlformats.org/officeDocument/2006/relationships/image" Target="media/image51.bmp"/><Relationship Id="rId106" Type="http://schemas.openxmlformats.org/officeDocument/2006/relationships/image" Target="media/image100.bmp"/><Relationship Id="rId127" Type="http://schemas.openxmlformats.org/officeDocument/2006/relationships/image" Target="media/image121.bmp"/><Relationship Id="rId10" Type="http://schemas.openxmlformats.org/officeDocument/2006/relationships/image" Target="media/image4.bmp"/><Relationship Id="rId31" Type="http://schemas.openxmlformats.org/officeDocument/2006/relationships/image" Target="media/image25.bmp"/><Relationship Id="rId52" Type="http://schemas.openxmlformats.org/officeDocument/2006/relationships/image" Target="media/image46.bmp"/><Relationship Id="rId73" Type="http://schemas.openxmlformats.org/officeDocument/2006/relationships/image" Target="media/image67.bmp"/><Relationship Id="rId78" Type="http://schemas.openxmlformats.org/officeDocument/2006/relationships/image" Target="media/image72.bmp"/><Relationship Id="rId94" Type="http://schemas.openxmlformats.org/officeDocument/2006/relationships/image" Target="media/image88.bmp"/><Relationship Id="rId99" Type="http://schemas.openxmlformats.org/officeDocument/2006/relationships/image" Target="media/image93.bmp"/><Relationship Id="rId101" Type="http://schemas.openxmlformats.org/officeDocument/2006/relationships/image" Target="media/image95.bmp"/><Relationship Id="rId122" Type="http://schemas.openxmlformats.org/officeDocument/2006/relationships/image" Target="media/image116.bmp"/><Relationship Id="rId143" Type="http://schemas.openxmlformats.org/officeDocument/2006/relationships/image" Target="media/image137.bmp"/><Relationship Id="rId148" Type="http://schemas.openxmlformats.org/officeDocument/2006/relationships/image" Target="media/image142.bmp"/><Relationship Id="rId164" Type="http://schemas.openxmlformats.org/officeDocument/2006/relationships/image" Target="media/image158.bmp"/><Relationship Id="rId169" Type="http://schemas.openxmlformats.org/officeDocument/2006/relationships/image" Target="media/image163.bmp"/><Relationship Id="rId185" Type="http://schemas.openxmlformats.org/officeDocument/2006/relationships/image" Target="media/image179.bmp"/><Relationship Id="rId4" Type="http://schemas.openxmlformats.org/officeDocument/2006/relationships/webSettings" Target="webSettings.xml"/><Relationship Id="rId9" Type="http://schemas.openxmlformats.org/officeDocument/2006/relationships/image" Target="media/image3.bmp"/><Relationship Id="rId180" Type="http://schemas.openxmlformats.org/officeDocument/2006/relationships/image" Target="media/image174.bmp"/><Relationship Id="rId26" Type="http://schemas.openxmlformats.org/officeDocument/2006/relationships/image" Target="media/image20.bmp"/><Relationship Id="rId47" Type="http://schemas.openxmlformats.org/officeDocument/2006/relationships/image" Target="media/image41.bmp"/><Relationship Id="rId68" Type="http://schemas.openxmlformats.org/officeDocument/2006/relationships/image" Target="media/image62.bmp"/><Relationship Id="rId89" Type="http://schemas.openxmlformats.org/officeDocument/2006/relationships/image" Target="media/image83.bmp"/><Relationship Id="rId112" Type="http://schemas.openxmlformats.org/officeDocument/2006/relationships/image" Target="media/image106.bmp"/><Relationship Id="rId133" Type="http://schemas.openxmlformats.org/officeDocument/2006/relationships/image" Target="media/image127.bmp"/><Relationship Id="rId154" Type="http://schemas.openxmlformats.org/officeDocument/2006/relationships/image" Target="media/image148.bmp"/><Relationship Id="rId175" Type="http://schemas.openxmlformats.org/officeDocument/2006/relationships/image" Target="media/image169.bmp"/><Relationship Id="rId196" Type="http://schemas.openxmlformats.org/officeDocument/2006/relationships/fontTable" Target="fontTable.xml"/><Relationship Id="rId16" Type="http://schemas.openxmlformats.org/officeDocument/2006/relationships/image" Target="media/image10.bmp"/><Relationship Id="rId37" Type="http://schemas.openxmlformats.org/officeDocument/2006/relationships/image" Target="media/image31.bmp"/><Relationship Id="rId58" Type="http://schemas.openxmlformats.org/officeDocument/2006/relationships/image" Target="media/image52.bmp"/><Relationship Id="rId79" Type="http://schemas.openxmlformats.org/officeDocument/2006/relationships/image" Target="media/image73.bmp"/><Relationship Id="rId102" Type="http://schemas.openxmlformats.org/officeDocument/2006/relationships/image" Target="media/image96.bmp"/><Relationship Id="rId123" Type="http://schemas.openxmlformats.org/officeDocument/2006/relationships/image" Target="media/image117.bmp"/><Relationship Id="rId144" Type="http://schemas.openxmlformats.org/officeDocument/2006/relationships/image" Target="media/image138.bmp"/><Relationship Id="rId90" Type="http://schemas.openxmlformats.org/officeDocument/2006/relationships/image" Target="media/image84.bmp"/><Relationship Id="rId165" Type="http://schemas.openxmlformats.org/officeDocument/2006/relationships/image" Target="media/image159.bmp"/><Relationship Id="rId186" Type="http://schemas.openxmlformats.org/officeDocument/2006/relationships/image" Target="media/image180.bmp"/><Relationship Id="rId27" Type="http://schemas.openxmlformats.org/officeDocument/2006/relationships/image" Target="media/image21.bmp"/><Relationship Id="rId48" Type="http://schemas.openxmlformats.org/officeDocument/2006/relationships/image" Target="media/image42.bmp"/><Relationship Id="rId69" Type="http://schemas.openxmlformats.org/officeDocument/2006/relationships/image" Target="media/image63.bmp"/><Relationship Id="rId113" Type="http://schemas.openxmlformats.org/officeDocument/2006/relationships/image" Target="media/image107.bmp"/><Relationship Id="rId134" Type="http://schemas.openxmlformats.org/officeDocument/2006/relationships/image" Target="media/image128.bmp"/><Relationship Id="rId80" Type="http://schemas.openxmlformats.org/officeDocument/2006/relationships/image" Target="media/image74.bmp"/><Relationship Id="rId155" Type="http://schemas.openxmlformats.org/officeDocument/2006/relationships/image" Target="media/image149.bmp"/><Relationship Id="rId176" Type="http://schemas.openxmlformats.org/officeDocument/2006/relationships/image" Target="media/image170.bmp"/><Relationship Id="rId197" Type="http://schemas.openxmlformats.org/officeDocument/2006/relationships/theme" Target="theme/theme1.xml"/><Relationship Id="rId17" Type="http://schemas.openxmlformats.org/officeDocument/2006/relationships/image" Target="media/image11.bmp"/><Relationship Id="rId38" Type="http://schemas.openxmlformats.org/officeDocument/2006/relationships/image" Target="media/image32.bmp"/><Relationship Id="rId59" Type="http://schemas.openxmlformats.org/officeDocument/2006/relationships/image" Target="media/image53.bmp"/><Relationship Id="rId103" Type="http://schemas.openxmlformats.org/officeDocument/2006/relationships/image" Target="media/image97.bmp"/><Relationship Id="rId124" Type="http://schemas.openxmlformats.org/officeDocument/2006/relationships/image" Target="media/image118.bmp"/><Relationship Id="rId70" Type="http://schemas.openxmlformats.org/officeDocument/2006/relationships/image" Target="media/image64.bmp"/><Relationship Id="rId91" Type="http://schemas.openxmlformats.org/officeDocument/2006/relationships/image" Target="media/image85.bmp"/><Relationship Id="rId145" Type="http://schemas.openxmlformats.org/officeDocument/2006/relationships/image" Target="media/image139.bmp"/><Relationship Id="rId166" Type="http://schemas.openxmlformats.org/officeDocument/2006/relationships/image" Target="media/image160.bmp"/><Relationship Id="rId187" Type="http://schemas.openxmlformats.org/officeDocument/2006/relationships/image" Target="media/image181.bmp"/><Relationship Id="rId1" Type="http://schemas.openxmlformats.org/officeDocument/2006/relationships/numbering" Target="numbering.xml"/><Relationship Id="rId28" Type="http://schemas.openxmlformats.org/officeDocument/2006/relationships/image" Target="media/image22.bmp"/><Relationship Id="rId49" Type="http://schemas.openxmlformats.org/officeDocument/2006/relationships/image" Target="media/image43.bmp"/><Relationship Id="rId114" Type="http://schemas.openxmlformats.org/officeDocument/2006/relationships/image" Target="media/image108.bmp"/><Relationship Id="rId60" Type="http://schemas.openxmlformats.org/officeDocument/2006/relationships/image" Target="media/image54.bmp"/><Relationship Id="rId81" Type="http://schemas.openxmlformats.org/officeDocument/2006/relationships/image" Target="media/image75.bmp"/><Relationship Id="rId135" Type="http://schemas.openxmlformats.org/officeDocument/2006/relationships/image" Target="media/image129.bmp"/><Relationship Id="rId156" Type="http://schemas.openxmlformats.org/officeDocument/2006/relationships/image" Target="media/image150.bmp"/><Relationship Id="rId177" Type="http://schemas.openxmlformats.org/officeDocument/2006/relationships/image" Target="media/image171.bmp"/><Relationship Id="rId18" Type="http://schemas.openxmlformats.org/officeDocument/2006/relationships/image" Target="media/image12.bmp"/><Relationship Id="rId39" Type="http://schemas.openxmlformats.org/officeDocument/2006/relationships/image" Target="media/image33.bmp"/><Relationship Id="rId50" Type="http://schemas.openxmlformats.org/officeDocument/2006/relationships/image" Target="media/image44.bmp"/><Relationship Id="rId104" Type="http://schemas.openxmlformats.org/officeDocument/2006/relationships/image" Target="media/image98.bmp"/><Relationship Id="rId125" Type="http://schemas.openxmlformats.org/officeDocument/2006/relationships/image" Target="media/image119.bmp"/><Relationship Id="rId146" Type="http://schemas.openxmlformats.org/officeDocument/2006/relationships/image" Target="media/image140.bmp"/><Relationship Id="rId167" Type="http://schemas.openxmlformats.org/officeDocument/2006/relationships/image" Target="media/image161.bmp"/><Relationship Id="rId188" Type="http://schemas.openxmlformats.org/officeDocument/2006/relationships/image" Target="media/image182.bm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PDF template VER 2</Template>
  <TotalTime>5</TotalTime>
  <Pages>151</Pages>
  <Words>20659</Words>
  <Characters>117757</Characters>
  <Application>Microsoft Office Word</Application>
  <DocSecurity>0</DocSecurity>
  <Lines>981</Lines>
  <Paragraphs>276</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138140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Zeka</cp:lastModifiedBy>
  <cp:revision>3</cp:revision>
  <dcterms:created xsi:type="dcterms:W3CDTF">2025-02-27T07:17:00Z</dcterms:created>
  <dcterms:modified xsi:type="dcterms:W3CDTF">2025-02-27T07:21:00Z</dcterms:modified>
</cp:coreProperties>
</file>