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537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"/>
        <w:gridCol w:w="10415"/>
      </w:tblGrid>
      <w:tr w:rsidR="00D13326" w:rsidRPr="004C2BA3" w:rsidTr="00894F6A">
        <w:trPr>
          <w:tblCellSpacing w:w="15" w:type="dxa"/>
        </w:trPr>
        <w:tc>
          <w:tcPr>
            <w:tcW w:w="388" w:type="pct"/>
            <w:shd w:val="clear" w:color="auto" w:fill="A41E1C"/>
            <w:vAlign w:val="center"/>
          </w:tcPr>
          <w:p w:rsidR="00D13326" w:rsidRPr="004C2BA3" w:rsidRDefault="00D33B1B" w:rsidP="0041610E">
            <w:pPr>
              <w:pStyle w:val="NASLOVZLATO"/>
              <w:rPr>
                <w:sz w:val="20"/>
                <w:szCs w:val="20"/>
                <w:lang w:val="sr-Cyrl-RS"/>
              </w:rPr>
            </w:pPr>
            <w:r w:rsidRPr="004C2BA3">
              <w:rPr>
                <w:sz w:val="20"/>
                <w:szCs w:val="20"/>
                <w:lang w:val="sr-Cyrl-R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0.7pt;height:44.45pt;visibility:visible;mso-wrap-style:square">
                  <v:imagedata r:id="rId6" o:title="futer logo"/>
                </v:shape>
              </w:pict>
            </w:r>
          </w:p>
        </w:tc>
        <w:tc>
          <w:tcPr>
            <w:tcW w:w="4572" w:type="pct"/>
            <w:shd w:val="clear" w:color="auto" w:fill="A41E1C"/>
            <w:vAlign w:val="center"/>
            <w:hideMark/>
          </w:tcPr>
          <w:p w:rsidR="007A5A6D" w:rsidRPr="004C2BA3" w:rsidRDefault="007A5A6D" w:rsidP="007A5A6D">
            <w:pPr>
              <w:pStyle w:val="NASLOVBELO"/>
              <w:spacing w:line="360" w:lineRule="auto"/>
              <w:rPr>
                <w:color w:val="FFE599"/>
                <w:sz w:val="22"/>
                <w:szCs w:val="22"/>
                <w:lang w:val="sr-Cyrl-RS"/>
              </w:rPr>
            </w:pPr>
            <w:r w:rsidRPr="004C2BA3">
              <w:rPr>
                <w:color w:val="FFE599"/>
                <w:sz w:val="22"/>
                <w:szCs w:val="22"/>
                <w:lang w:val="sr-Cyrl-RS"/>
              </w:rPr>
              <w:t>ПРАВИЛНИК</w:t>
            </w:r>
          </w:p>
          <w:p w:rsidR="00043E6B" w:rsidRPr="004C2BA3" w:rsidRDefault="004C2BA3" w:rsidP="0077193D">
            <w:pPr>
              <w:pStyle w:val="NASLOVBELO"/>
              <w:rPr>
                <w:sz w:val="22"/>
                <w:szCs w:val="22"/>
                <w:lang w:val="sr-Cyrl-RS"/>
              </w:rPr>
            </w:pPr>
            <w:r w:rsidRPr="004C2BA3">
              <w:rPr>
                <w:sz w:val="22"/>
                <w:szCs w:val="22"/>
                <w:lang w:val="sr-Cyrl-RS"/>
              </w:rPr>
              <w:t>О УТВРЂИВАЊУ ПРОГРАМА МОНИТОРИНГА БЕЗБЕДНОСТИ ХРАНЕ ЖИВОТИЊСКОГ ПОРЕКЛА И ХРАНЕ ЗА ЖИВОТИЊЕ КОЈА СЕ УВОЗИ ЗА 2020. ГОДИНУ</w:t>
            </w:r>
          </w:p>
          <w:p w:rsidR="00D13326" w:rsidRPr="004C2BA3" w:rsidRDefault="007A5A6D" w:rsidP="00314442">
            <w:pPr>
              <w:pStyle w:val="podnaslovpropisa"/>
              <w:rPr>
                <w:noProof/>
                <w:sz w:val="18"/>
                <w:szCs w:val="18"/>
                <w:lang w:val="sr-Cyrl-RS"/>
              </w:rPr>
            </w:pPr>
            <w:r w:rsidRPr="004C2BA3">
              <w:rPr>
                <w:noProof/>
                <w:lang w:val="sr-Cyrl-RS"/>
              </w:rPr>
              <w:t xml:space="preserve">("Сл. гласник РС", бр. </w:t>
            </w:r>
            <w:r w:rsidR="009C5050" w:rsidRPr="004C2BA3">
              <w:rPr>
                <w:noProof/>
                <w:lang w:val="sr-Cyrl-RS"/>
              </w:rPr>
              <w:t>10</w:t>
            </w:r>
            <w:r w:rsidR="00314442" w:rsidRPr="004C2BA3">
              <w:rPr>
                <w:noProof/>
                <w:lang w:val="sr-Cyrl-RS"/>
              </w:rPr>
              <w:t>2</w:t>
            </w:r>
            <w:r w:rsidRPr="004C2BA3">
              <w:rPr>
                <w:noProof/>
                <w:lang w:val="sr-Cyrl-RS"/>
              </w:rPr>
              <w:t>/202</w:t>
            </w:r>
            <w:r w:rsidR="00314442" w:rsidRPr="004C2BA3">
              <w:rPr>
                <w:noProof/>
                <w:lang w:val="sr-Cyrl-RS"/>
              </w:rPr>
              <w:t>0</w:t>
            </w:r>
            <w:r w:rsidRPr="004C2BA3">
              <w:rPr>
                <w:noProof/>
                <w:lang w:val="sr-Cyrl-RS"/>
              </w:rPr>
              <w:t>)</w:t>
            </w:r>
          </w:p>
        </w:tc>
      </w:tr>
    </w:tbl>
    <w:p w:rsidR="00314442" w:rsidRPr="004C2BA3" w:rsidRDefault="00314442" w:rsidP="00894F6A">
      <w:pPr>
        <w:spacing w:before="6" w:after="1"/>
        <w:rPr>
          <w:rFonts w:ascii="Arial" w:hAnsi="Arial" w:cs="Arial"/>
          <w:sz w:val="10"/>
          <w:lang w:val="sr-Cyrl-RS"/>
        </w:rPr>
      </w:pPr>
    </w:p>
    <w:p w:rsidR="004C2BA3" w:rsidRPr="004C2BA3" w:rsidRDefault="004C2BA3" w:rsidP="004C2BA3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ПРОГРАМ МОНИТОРИНГА</w:t>
      </w:r>
      <w:r w:rsidRPr="004C2BA3">
        <w:rPr>
          <w:rFonts w:ascii="Arial" w:hAnsi="Arial" w:cs="Arial"/>
          <w:noProof w:val="0"/>
          <w:sz w:val="22"/>
          <w:szCs w:val="22"/>
          <w:lang w:val="en-US"/>
        </w:rPr>
        <w:br/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БЕЗБЕДНОСТИ ХРАНЕ ЖИВОТИЊСКОГ ПОРЕКЛА И ХРАНЕ ЗА ЖИВОТИЊЕ КОЈА СЕ УВОЗИ ЗА 2020. ГОДИНУ</w:t>
      </w:r>
    </w:p>
    <w:p w:rsidR="004C2BA3" w:rsidRPr="004C2BA3" w:rsidRDefault="004C2BA3" w:rsidP="004C2BA3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I. Потребна средства за </w:t>
      </w:r>
      <w:bookmarkStart w:id="0" w:name="_GoBack"/>
      <w:bookmarkEnd w:id="0"/>
      <w:r w:rsidRPr="004C2BA3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финансирање Програма мониторинга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Потребна средства за финансирање Програма мониторинга обезбеђена су Законом о буџету Републике Србије за 2020. годину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84/19, 60/20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пропис, 62/20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 и 65/20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закон), у оквиру Раздела 24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Министарство пољопривреде, шумарства и водопривреде, у Глави 24.2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Управа за ветерину, Програм 0109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Безбедност хране, ветеринарска и фитосанитарна политика, Функција 760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Здравство некласификовано на другом месту, Програмска активност 0002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Безбедност хране животињског порекла и хране за животиње, Економска класификација 451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Субвенције јавним нефинансијским предузећима и организацијама у износу од 150.000.000 динара.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Укупна средства са наведене економске класификације у износу од 150.000.000 динара расподељена су и користе се у складу са Закључком Владе о усвајању Програма распореда и коришћења средстава субвенција у области ветерине за 2020. годину, 05 број 401-293/2020 oд 17. јануара 2020. године и 05 број 401-4771/2020 oд 12. јуна 2020. године (у даљем тексту: Закључак Владе).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 складу са Закључком Владе, од укупног износа од 150.000.000 динара, средства се расподељују у одговарајућим износима, од чега за Програм мониторинга у износу од 50.000.000 динара.</w:t>
      </w:r>
    </w:p>
    <w:p w:rsidR="004C2BA3" w:rsidRPr="004C2BA3" w:rsidRDefault="004C2BA3" w:rsidP="004C2BA3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II. Mере које ће се предузети у случају присуства микробиолошких и хемијских опасности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 случају пошиљака које не испуњавају прописане захтеве у складу са законом којим се уређује безбедност хране, односно законом којим се уређује ветеринарство, односно у случају присуства микробиолошких, хемијских и квалитативних неусаглашености са прописаним вредностима, надлежни орган спроводи активности како би се осигурало да се неусаглашеност отклони, и то: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обавештава о природи пошиљке и њеној неусаглашености граничне прелазе на којима се обавља ветеринарско-санитарна контрола, у складу са законом којим се уређује ветеринарство;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обавештава о неусаглашености увозника, који може да захтева додатно стручно мишљење (суперанализа), односно додатне анализе другог (контролног) узорка, које се обављају у акредитованој лабораторији са акредитованим методом у складу са законским прописима;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забрањује стављање у промет пошиљке, ако је примењиво;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4) предузима мере за које се сматра да су потребне како би се осигурала безбедност хране;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5) обавештава о неусаглашености надлежни орган државе извознице;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6) предузима друге мере и друге одговарајуће радње.</w:t>
      </w:r>
    </w:p>
    <w:p w:rsidR="004C2BA3" w:rsidRPr="004C2BA3" w:rsidRDefault="004C2BA3" w:rsidP="004C2BA3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III. Структура органа и организација за спровођење Програма мониторинга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Програм мониторинга спроводи надлежни орган преко граничних ветеринарских инспектора.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lastRenderedPageBreak/>
        <w:t>Лабораторијска испитивања спроводе лабораторијe: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које су изабране путем конкурса у складу са законом којим се уређује безбедност хране;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које су овлашћене за службене контроле у складу са законом којим се уређује област ветеринарства.</w:t>
      </w:r>
    </w:p>
    <w:p w:rsidR="004C2BA3" w:rsidRPr="004C2BA3" w:rsidRDefault="004C2BA3" w:rsidP="004C2BA3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IV. Други параметри од значаја за спровођење Програма мониторинга</w:t>
      </w:r>
    </w:p>
    <w:p w:rsidR="004C2BA3" w:rsidRPr="004C2BA3" w:rsidRDefault="004C2BA3" w:rsidP="004C2BA3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>1. План мониторинга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План мониторинга, којим се одређују параметри испитивања за микробиолошка и хемијска испитивања хране животињског порекла и хране за животиње, дат је у Табели 1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План за узорковање пошиљки хране животињског порекла, овог програма и Табели 2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План за узорковање пошиљки хране за животиње, овог програма.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Табела 1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План за узорковање пошиљки хране животињског порекла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80"/>
        <w:gridCol w:w="2035"/>
        <w:gridCol w:w="6006"/>
      </w:tblGrid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Пошиљка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Земља порекла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Параметар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Говеђе месо, расхлађено или замрзнуто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S.typhimurium, S.enteritidis, Shigatoxin (токсин E. coli), антибиотици, сулфонамиди, стероидни хормони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Свињско месо, расхлађено или замрзнуто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S.typhimurium, S.enteritidis, антибиотици, сулфонамиди, тешки метали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Свињска јетра и изнутрице јестиве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Антибиотици, Органохлорне, органофосфорне супстанце, PCB, тешки метали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Овчије месо расхлађено или замрзнуто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Salmonella spp, Shigatoxin (токсин E. coli), антибиотици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Црева</w:t>
            </w:r>
          </w:p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(овце, свиње и говеда)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Антибиотици, сулфонамиди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Живинско месо, расхлађено или замрзнуто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S.typhimurium, S.enteritidis, Campylobacter (свеже месо), антибиотици, сулфонамиди, фипронил, кокцидиостатици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Механички сепарисано месо живине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Salmonella spp, Shigatoxin (токсин E. coli), антибиотици, сулфонамиди, фипронил, параметри квалитета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Полупроизводи од меса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Salmonella spp, Listeria monocytogenes, Shigatoxin (токсин </w:t>
            </w:r>
            <w:r w:rsidRPr="004C2BA3">
              <w:rPr>
                <w:rFonts w:ascii="Arial" w:hAnsi="Arial" w:cs="Arial"/>
                <w:i/>
                <w:noProof w:val="0"/>
                <w:color w:val="000000"/>
                <w:sz w:val="22"/>
                <w:szCs w:val="22"/>
                <w:lang w:val="en-US"/>
              </w:rPr>
              <w:t>E. coli</w:t>
            </w: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), антибиотици, сулфонамиди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Производи од меса (ферментисани, димљени или сушени)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Salmonella spp</w:t>
            </w:r>
            <w:r w:rsidRPr="004C2BA3">
              <w:rPr>
                <w:rFonts w:ascii="Arial" w:hAnsi="Arial" w:cs="Arial"/>
                <w:i/>
                <w:noProof w:val="0"/>
                <w:color w:val="000000"/>
                <w:sz w:val="22"/>
                <w:szCs w:val="22"/>
                <w:lang w:val="en-US"/>
              </w:rPr>
              <w:t>.</w:t>
            </w: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Listeria monocytogenes, benzopyren и PAH (за димљене производе), нитрити, антибиотици, сулфонамиди, параметри квалитета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Барене и куване кобасице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Salmonella spp, Listeria monocytogenes, сулфити, нитрити, сулфонамиди, тешки метали, параметри квалитета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Конзерве од меса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Сулфито редукујуће клостридије aнтибиотици, тешки метали, параметри квалитета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Риба морска расхлађена или замрзнута (уловљена у мору)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Тешки метали, хистамин, паразити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Риба уловљена у мору и њихови производи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Риболовна подручја где су уловљени: ФАО 61, 67, 71, 77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Cs-134, Cs-137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Риба, сушена, димљена, сољена или у саламури;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Listeria monocytogenes, Полициклични ароматични угљоводоници (PAH), хистамин, тешки метали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Риба, расхлађена или замрзнута (морске рибе, аквакултура)*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Малахит зелено, Aнтибиотици (хлорамфеникол, нитрофурани, нитромидазол)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Рибље конзерве и производи од риба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Хистамин, тешки метали, параметри квалитета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Риба слатководна расхлађена или замрзнута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Малахит зелено, Aнтибиотици (хлорамфеникол, нитрофурани, нитромидазол)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Љускари свежи, расхлађени, замрзнути, припремљени или конзервисани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Salmonella spp, тешки метали, listeria monocytogenes (припремљени ракови) за ракове из аквакултуре антибиотици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Мекушци свежи, расхлађени, замрзнути, припремљени или конзервисани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Salmonella spp, тешки метали, listeria monocytogenes (припремљени мекушци)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Пужеви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Salmonella spp, тешки метали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Млеко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Антибиотици, Афлатоксин М1 (земље ЦЕФТА), параметри квалитета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Млеко у праху и сурутка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Salmonella spp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Сир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Salmonella spp, listeria monocytogenes, E.coli, коагулаза позитивне стафилококе, Афлатоксин М1, пареметри квалитета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Ферментисани производи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Listeria monocytogenes, сулфонамиди, антибиотици, параметри квалитета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Маслац, павлака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E.coli, Антибиотици, тешки метали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Производи од млека и остали мешовити производи који садрже биљне масти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Listeria monocytogenes, E. coli, за мешовите производе PAH (полициклични ароматични угљоводоници)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Сладолед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Listeria monocytogenes, Salmonella spp, параметри квалитета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Јаја и производи</w:t>
            </w:r>
          </w:p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од јаја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Salmonella spp, Listeria monocytogenes, антибиотици, кокцидиостатици, fipronil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Мед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Антибиотици, сулфонамиди, tau-fluvalinat, amitraz, тешки метали, параметри квалитета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Полуприпремљена и припремљена јела од меса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0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Listeria monocytogenes, E. coli (О 157:H7), Сулфиторедукујуће клостридије, параметри квалитета</w:t>
            </w:r>
          </w:p>
        </w:tc>
      </w:tr>
    </w:tbl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>Напомена:*) Уколико се таква врста рибе може конзумирати без термичке обраде, да се испита Listeria monocytogenes, SRPS EN ISO 11290-1:2017.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Табела 2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План за узорковање пошиљки хране за животиње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214"/>
        <w:gridCol w:w="1050"/>
        <w:gridCol w:w="7957"/>
      </w:tblGrid>
      <w:tr w:rsidR="004C2BA3" w:rsidRPr="004C2BA3" w:rsidTr="00B06B04">
        <w:trPr>
          <w:trHeight w:val="45"/>
          <w:tblCellSpacing w:w="0" w:type="auto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Пошиљка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Земља порекла</w:t>
            </w:r>
          </w:p>
        </w:tc>
        <w:tc>
          <w:tcPr>
            <w:tcW w:w="1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Параметар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Храна за кућне љубимце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Salmonella spp.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Рибље брашно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Salmonella, тешки метали, контаминација са протеинима животињског порекла</w:t>
            </w:r>
          </w:p>
        </w:tc>
      </w:tr>
      <w:tr w:rsidR="004C2BA3" w:rsidRPr="004C2BA3" w:rsidTr="00B06B04">
        <w:trPr>
          <w:trHeight w:val="45"/>
          <w:tblCellSpacing w:w="0" w:type="auto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Млеко у праху за сточну храну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Све земље</w:t>
            </w:r>
          </w:p>
        </w:tc>
        <w:tc>
          <w:tcPr>
            <w:tcW w:w="1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2BA3" w:rsidRPr="004C2BA3" w:rsidRDefault="004C2BA3" w:rsidP="004C2BA3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4C2BA3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Salmonella spp. Clostridium perfringens, антибиотици</w:t>
            </w:r>
          </w:p>
        </w:tc>
      </w:tr>
    </w:tbl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Микробиолошка, хемијска и квалитативна испитивања спроводе се у складу са методама које су у складу са међународно признатим стандардима.</w:t>
      </w:r>
    </w:p>
    <w:p w:rsidR="004C2BA3" w:rsidRPr="004C2BA3" w:rsidRDefault="004C2BA3" w:rsidP="004C2BA3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>2. Услови и начин узорковања</w:t>
      </w:r>
      <w:r w:rsidRPr="004C2BA3">
        <w:rPr>
          <w:rFonts w:ascii="Arial" w:hAnsi="Arial" w:cs="Arial"/>
          <w:noProof w:val="0"/>
          <w:sz w:val="22"/>
          <w:szCs w:val="22"/>
          <w:lang w:val="en-US"/>
        </w:rPr>
        <w:br/>
      </w:r>
      <w:r w:rsidRPr="004C2BA3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 xml:space="preserve"> и чувања узорака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Узорковање се врши у складу са прописима којима се уређује безбедност хране животињског порекла и хране за животиње и стандардима усвојеним у области ветеринарства и безбедности хране.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Узорковање се врши у складу са Планом мониторинга.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Поступак узорковања, манипулације и обележавање узетих узорака врши се на прописан начин којим се осигурава њихова подобност за предвиђене анализе.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Узорковање треба извршити ненајављено, без унапред одређеног датума и времена, тако да постоји непредвидивост при избору пошиљке за узорковање. Узорке треба узимати на начин који спречава вишеструко узорковање од истог произвођача или увозника.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При узорковању, на граничном прелазу дозвољава се присуство на месту узорковања странци или његовом овлашћеном заступнику.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Приликом узимања узорака за лабораторијска испитивања на граничном прелазу узимају се два узорка под идентичним условима и истовремено. Први узорак се одмах доставља у лабораторију где се врши анализа, други узорак (контролни) чува се на граничном прелазу на сигурном месту, где није дозвољен приступ неовлашћеним особама у одговарајућим условима за испитивање, у случају потребе за додатним стручним мишљењем (суперанализа).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 случају да из техничких разлога, не постоји могућност да се узорковање изврши на граничном прелазу, узорковање се може обавити и на месту истовара пошиљке.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Приликом узимања узорка саставља се и записник о узорковању хране животињског порекла или хране за животиње који се увозе, ради лабораторијског испитивања ветеринарско-санитарне исправности (у даљем тексту: Записник о узорковању), чија је садржина дата у Табели 3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Записник о узорковању, овог програма. Примерак записника о узорковању који се доставља странци не садржи број/код узорка како би се обезбедила дискреција резултата лабораторијских испитивања.</w:t>
      </w:r>
    </w:p>
    <w:p w:rsidR="004C2BA3" w:rsidRPr="004C2BA3" w:rsidRDefault="004C2BA3" w:rsidP="004C2BA3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sz w:val="22"/>
          <w:szCs w:val="22"/>
          <w:lang w:eastAsia="sr-Latn-RS"/>
        </w:rPr>
        <w:pict>
          <v:shape id="_x0000_i1179" type="#_x0000_t75" style="width:451.4pt;height:635.5pt;visibility:visible;mso-wrap-style:square">
            <v:imagedata r:id="rId7" o:title=""/>
          </v:shape>
        </w:pict>
      </w:r>
    </w:p>
    <w:p w:rsidR="004C2BA3" w:rsidRPr="004C2BA3" w:rsidRDefault="004C2BA3" w:rsidP="004C2BA3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sz w:val="22"/>
          <w:szCs w:val="22"/>
          <w:lang w:eastAsia="sr-Latn-RS"/>
        </w:rPr>
        <w:pict>
          <v:shape id="Picture 2" o:spid="_x0000_i1178" type="#_x0000_t75" style="width:451.4pt;height:635.5pt;visibility:visible;mso-wrap-style:square">
            <v:imagedata r:id="rId8" o:title=""/>
          </v:shape>
        </w:pict>
      </w:r>
    </w:p>
    <w:p w:rsidR="004C2BA3" w:rsidRPr="004C2BA3" w:rsidRDefault="004C2BA3" w:rsidP="004C2BA3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sz w:val="22"/>
          <w:szCs w:val="22"/>
          <w:lang w:eastAsia="sr-Latn-RS"/>
        </w:rPr>
        <w:pict>
          <v:shape id="Picture 3" o:spid="_x0000_i1177" type="#_x0000_t75" style="width:451.4pt;height:635.5pt;visibility:visible;mso-wrap-style:square">
            <v:imagedata r:id="rId9" o:title=""/>
          </v:shape>
        </w:pict>
      </w:r>
    </w:p>
    <w:p w:rsidR="004C2BA3" w:rsidRPr="004C2BA3" w:rsidRDefault="004C2BA3" w:rsidP="004C2BA3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sz w:val="22"/>
          <w:szCs w:val="22"/>
          <w:lang w:eastAsia="sr-Latn-RS"/>
        </w:rPr>
        <w:pict>
          <v:shape id="Picture 4" o:spid="_x0000_i1176" type="#_x0000_t75" style="width:451.4pt;height:635.5pt;visibility:visible;mso-wrap-style:square">
            <v:imagedata r:id="rId10" o:title=""/>
          </v:shape>
        </w:pict>
      </w:r>
    </w:p>
    <w:p w:rsidR="004C2BA3" w:rsidRPr="004C2BA3" w:rsidRDefault="004C2BA3" w:rsidP="004C2BA3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sz w:val="22"/>
          <w:szCs w:val="22"/>
          <w:lang w:eastAsia="sr-Latn-RS"/>
        </w:rPr>
        <w:pict>
          <v:shape id="Picture 5" o:spid="_x0000_i1175" type="#_x0000_t75" style="width:451.4pt;height:635.5pt;visibility:visible;mso-wrap-style:square">
            <v:imagedata r:id="rId11" o:title=""/>
          </v:shape>
        </w:pict>
      </w:r>
    </w:p>
    <w:p w:rsidR="004C2BA3" w:rsidRPr="004C2BA3" w:rsidRDefault="004C2BA3" w:rsidP="004C2BA3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>3. Tранспорт узорака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Узорци се преузимају и транспортују у лабораторију у најкраћем могућем року, у складу са уговором о пружању услуга са овлашћеном лабораторијом.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Транспорт је обавезан у специјализованом возилу, у којем је обезбеђен температурни режим и предузете све мере предострожности како би се избегла било каква промена у саставу узорка и спречило оштећење узорка, кварења или међусобне контаминације.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 случају микробиолошког испитивања, треба да постоји следљивост температуре узорка.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 ту сврху: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за време узорковања, на граничном прелазу мери се температура узорка и евидентира вредност у пропратном писму о пријему узорка у лабораторију у делу предаје узорака;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по пријему узорка, одговорно лице овлашћене лабораторије мери температуру узорка и евидентира је у пропратном писму о пријему узорака у лабораторију у делу пријем узорака, које се враћа граничном ветеринарском инспектору на граничном прелазу.</w:t>
      </w:r>
    </w:p>
    <w:p w:rsidR="004C2BA3" w:rsidRPr="004C2BA3" w:rsidRDefault="004C2BA3" w:rsidP="004C2BA3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>4. Достављање резултата лабораторијских анализа за дати узорак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Резултати лабораторијске анализе достављају се граничном прелазу где је извршено узорковање, а у случају лабораторијског налаза који не испуњава прописане захтеве у складу са законом којим се уређује безбедност хране, односно законом којим се уређује ветеринарство и надлежном органу.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 случају када се узорковање врши у месту истовара пошиљке, резултати лабораторијских анализа овлашћена лабораторија додатно доставља и у месту истовара пошиљке где је извршено узорковање.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Ако резултат није у складу са прописаним захтевима у складу са законом којим се уређује безбедност хране, односно законом којим се уређује ветеринарство, овлашћена лабораторија обавештење доставља у најкраћем могућем року.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Ако узорци који долазе у лабораторију нису погодни за анализу, они не би требало да буду подвргнути лабораторијској анализи о чему се обавештава надлежни орган и гранични прелаз, односно место истовара пошиљке где је извршено узорковање.</w:t>
      </w:r>
    </w:p>
    <w:p w:rsidR="004C2BA3" w:rsidRPr="004C2BA3" w:rsidRDefault="004C2BA3" w:rsidP="004C2BA3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>5. Извештај о спровођењу Плана мониторинга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 циљу спровођења ефикасне и ефективне координације и сарадње, сви гранични прелази на којима се обавља ветеринарско-санитарна контрола, у складу са законом којим се уређује ветеринарство достављају извештај о спровођењу Плана мониторинга.</w:t>
      </w:r>
    </w:p>
    <w:p w:rsidR="004C2BA3" w:rsidRPr="004C2BA3" w:rsidRDefault="004C2BA3" w:rsidP="004C2BA3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Извештај о спровођењу Плана мониторинга доставља се надлежном органу квартално, у форми табеле, чија је садржина дата у Табели 6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4C2BA3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Извештај о спровођењу Плана мониторинга, овог програма.</w:t>
      </w:r>
    </w:p>
    <w:p w:rsidR="004C2BA3" w:rsidRDefault="004C2BA3" w:rsidP="004C2BA3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4C2BA3">
        <w:rPr>
          <w:rFonts w:ascii="Arial" w:hAnsi="Arial" w:cs="Arial"/>
          <w:sz w:val="22"/>
          <w:szCs w:val="22"/>
          <w:lang w:eastAsia="sr-Latn-RS"/>
        </w:rPr>
        <w:pict>
          <v:shape id="Picture 6" o:spid="_x0000_i1174" type="#_x0000_t75" style="width:451.4pt;height:321.2pt;visibility:visible;mso-wrap-style:square">
            <v:imagedata r:id="rId12" o:title=""/>
          </v:shape>
        </w:pict>
      </w:r>
    </w:p>
    <w:p w:rsidR="004C2BA3" w:rsidRPr="004C2BA3" w:rsidRDefault="004C2BA3" w:rsidP="00894F6A">
      <w:pPr>
        <w:spacing w:before="6" w:after="1"/>
        <w:rPr>
          <w:rFonts w:ascii="Arial" w:hAnsi="Arial" w:cs="Arial"/>
          <w:sz w:val="10"/>
          <w:lang w:val="sr-Cyrl-RS"/>
        </w:rPr>
      </w:pPr>
    </w:p>
    <w:sectPr w:rsidR="004C2BA3" w:rsidRPr="004C2BA3" w:rsidSect="00314442">
      <w:footerReference w:type="default" r:id="rId13"/>
      <w:pgSz w:w="12480" w:h="15740"/>
      <w:pgMar w:top="380" w:right="1180" w:bottom="280" w:left="1180" w:header="0" w:footer="4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249" w:rsidRDefault="00703249" w:rsidP="007A5A6D">
      <w:r>
        <w:separator/>
      </w:r>
    </w:p>
  </w:endnote>
  <w:endnote w:type="continuationSeparator" w:id="0">
    <w:p w:rsidR="00703249" w:rsidRDefault="00703249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442" w:rsidRPr="00314442" w:rsidRDefault="00314442">
    <w:pPr>
      <w:pStyle w:val="Footer"/>
      <w:jc w:val="center"/>
      <w:rPr>
        <w:caps/>
        <w:color w:val="5B9BD5"/>
      </w:rPr>
    </w:pPr>
    <w:r w:rsidRPr="00314442">
      <w:rPr>
        <w:caps/>
        <w:noProof w:val="0"/>
        <w:color w:val="5B9BD5"/>
      </w:rPr>
      <w:fldChar w:fldCharType="begin"/>
    </w:r>
    <w:r w:rsidRPr="00314442">
      <w:rPr>
        <w:caps/>
        <w:color w:val="5B9BD5"/>
      </w:rPr>
      <w:instrText xml:space="preserve"> PAGE   \* MERGEFORMAT </w:instrText>
    </w:r>
    <w:r w:rsidRPr="00314442">
      <w:rPr>
        <w:caps/>
        <w:noProof w:val="0"/>
        <w:color w:val="5B9BD5"/>
      </w:rPr>
      <w:fldChar w:fldCharType="separate"/>
    </w:r>
    <w:r w:rsidR="00703249">
      <w:rPr>
        <w:caps/>
        <w:color w:val="5B9BD5"/>
      </w:rPr>
      <w:t>1</w:t>
    </w:r>
    <w:r w:rsidRPr="00314442">
      <w:rPr>
        <w:caps/>
        <w:color w:val="5B9BD5"/>
      </w:rPr>
      <w:fldChar w:fldCharType="end"/>
    </w:r>
  </w:p>
  <w:p w:rsidR="00314442" w:rsidRDefault="00314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249" w:rsidRDefault="00703249" w:rsidP="007A5A6D">
      <w:r>
        <w:separator/>
      </w:r>
    </w:p>
  </w:footnote>
  <w:footnote w:type="continuationSeparator" w:id="0">
    <w:p w:rsidR="00703249" w:rsidRDefault="00703249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0395"/>
    <w:rsid w:val="00043E6B"/>
    <w:rsid w:val="00251BA3"/>
    <w:rsid w:val="002A61CA"/>
    <w:rsid w:val="00314442"/>
    <w:rsid w:val="00497C37"/>
    <w:rsid w:val="004C2BA3"/>
    <w:rsid w:val="004F5E00"/>
    <w:rsid w:val="005F0760"/>
    <w:rsid w:val="00703249"/>
    <w:rsid w:val="0077193D"/>
    <w:rsid w:val="007A5A6D"/>
    <w:rsid w:val="00806E64"/>
    <w:rsid w:val="00894F6A"/>
    <w:rsid w:val="00944E3C"/>
    <w:rsid w:val="009C5050"/>
    <w:rsid w:val="00A31AF5"/>
    <w:rsid w:val="00D13326"/>
    <w:rsid w:val="00D33B1B"/>
    <w:rsid w:val="00F5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0DFCD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1795</Words>
  <Characters>10236</Characters>
  <Application>Microsoft Office Word</Application>
  <DocSecurity>0</DocSecurity>
  <Lines>85</Lines>
  <Paragraphs>24</Paragraphs>
  <ScaleCrop>false</ScaleCrop>
  <Company/>
  <LinksUpToDate>false</LinksUpToDate>
  <CharactersWithSpaces>12007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2024-01-26T20:10:00Z</dcterms:created>
  <dcterms:modified xsi:type="dcterms:W3CDTF">2024-01-26T20:12:00Z</dcterms:modified>
</cp:coreProperties>
</file>