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537" w:type="pct"/>
        <w:tblCellSpacing w:w="15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0415"/>
      </w:tblGrid>
      <w:tr w:rsidR="00D13326" w:rsidRPr="00D9718B" w:rsidTr="00894F6A">
        <w:trPr>
          <w:tblCellSpacing w:w="15" w:type="dxa"/>
        </w:trPr>
        <w:tc>
          <w:tcPr>
            <w:tcW w:w="388" w:type="pct"/>
            <w:shd w:val="clear" w:color="auto" w:fill="A41E1C"/>
            <w:vAlign w:val="center"/>
          </w:tcPr>
          <w:p w:rsidR="00D13326" w:rsidRPr="00D9718B" w:rsidRDefault="00D33B1B" w:rsidP="0041610E">
            <w:pPr>
              <w:pStyle w:val="NASLOVZLATO"/>
              <w:rPr>
                <w:sz w:val="20"/>
                <w:szCs w:val="20"/>
                <w:lang w:val="sr-Cyrl-RS"/>
              </w:rPr>
            </w:pPr>
            <w:r w:rsidRPr="00D9718B">
              <w:rPr>
                <w:sz w:val="20"/>
                <w:szCs w:val="20"/>
                <w:lang w:val="sr-Cyrl-R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0.7pt;height:44.45pt;visibility:visible;mso-wrap-style:square">
                  <v:imagedata r:id="rId6" o:title="futer logo"/>
                </v:shape>
              </w:pict>
            </w:r>
          </w:p>
        </w:tc>
        <w:tc>
          <w:tcPr>
            <w:tcW w:w="4572" w:type="pct"/>
            <w:shd w:val="clear" w:color="auto" w:fill="A41E1C"/>
            <w:vAlign w:val="center"/>
            <w:hideMark/>
          </w:tcPr>
          <w:p w:rsidR="007A5A6D" w:rsidRPr="00D9718B" w:rsidRDefault="007A5A6D" w:rsidP="007A5A6D">
            <w:pPr>
              <w:pStyle w:val="NASLOVBELO"/>
              <w:spacing w:line="360" w:lineRule="auto"/>
              <w:rPr>
                <w:color w:val="FFE599"/>
                <w:sz w:val="22"/>
                <w:szCs w:val="22"/>
                <w:lang w:val="sr-Cyrl-RS"/>
              </w:rPr>
            </w:pPr>
            <w:r w:rsidRPr="00D9718B">
              <w:rPr>
                <w:color w:val="FFE599"/>
                <w:sz w:val="22"/>
                <w:szCs w:val="22"/>
                <w:lang w:val="sr-Cyrl-RS"/>
              </w:rPr>
              <w:t>ПРАВИЛНИК</w:t>
            </w:r>
          </w:p>
          <w:p w:rsidR="00043E6B" w:rsidRPr="00D9718B" w:rsidRDefault="00D9718B" w:rsidP="0077193D">
            <w:pPr>
              <w:pStyle w:val="NASLOVBELO"/>
              <w:rPr>
                <w:sz w:val="22"/>
                <w:szCs w:val="22"/>
                <w:lang w:val="sr-Cyrl-RS"/>
              </w:rPr>
            </w:pPr>
            <w:r w:rsidRPr="00D9718B">
              <w:rPr>
                <w:sz w:val="22"/>
                <w:szCs w:val="22"/>
                <w:lang w:val="sr-Cyrl-RS"/>
              </w:rPr>
              <w:t>О УТВРЂИВАЊУ ГОДИШЊЕГ ПРОГРАМА ПОСТРЕГИСТРАЦИОНЕ КОНТРОЛЕ СРЕДСТАВА ЗА ЗАШТИТУ БИЉА ЗА 2020. ГОДИНУ</w:t>
            </w:r>
          </w:p>
          <w:p w:rsidR="00D13326" w:rsidRPr="00D9718B" w:rsidRDefault="007A5A6D" w:rsidP="00314442">
            <w:pPr>
              <w:pStyle w:val="podnaslovpropisa"/>
              <w:rPr>
                <w:noProof/>
                <w:sz w:val="18"/>
                <w:szCs w:val="18"/>
                <w:lang w:val="sr-Cyrl-RS"/>
              </w:rPr>
            </w:pPr>
            <w:r w:rsidRPr="00D9718B">
              <w:rPr>
                <w:noProof/>
                <w:lang w:val="sr-Cyrl-RS"/>
              </w:rPr>
              <w:t xml:space="preserve">("Сл. гласник РС", бр. </w:t>
            </w:r>
            <w:r w:rsidR="009C5050" w:rsidRPr="00D9718B">
              <w:rPr>
                <w:noProof/>
                <w:lang w:val="sr-Cyrl-RS"/>
              </w:rPr>
              <w:t>10</w:t>
            </w:r>
            <w:r w:rsidR="00314442" w:rsidRPr="00D9718B">
              <w:rPr>
                <w:noProof/>
                <w:lang w:val="sr-Cyrl-RS"/>
              </w:rPr>
              <w:t>2</w:t>
            </w:r>
            <w:r w:rsidRPr="00D9718B">
              <w:rPr>
                <w:noProof/>
                <w:lang w:val="sr-Cyrl-RS"/>
              </w:rPr>
              <w:t>/202</w:t>
            </w:r>
            <w:r w:rsidR="00314442" w:rsidRPr="00D9718B">
              <w:rPr>
                <w:noProof/>
                <w:lang w:val="sr-Cyrl-RS"/>
              </w:rPr>
              <w:t>0</w:t>
            </w:r>
            <w:r w:rsidRPr="00D9718B">
              <w:rPr>
                <w:noProof/>
                <w:lang w:val="sr-Cyrl-RS"/>
              </w:rPr>
              <w:t>)</w:t>
            </w:r>
          </w:p>
        </w:tc>
      </w:tr>
    </w:tbl>
    <w:p w:rsidR="00314442" w:rsidRPr="00D9718B" w:rsidRDefault="00314442" w:rsidP="00894F6A">
      <w:pPr>
        <w:spacing w:before="6" w:after="1"/>
        <w:rPr>
          <w:rFonts w:ascii="Arial" w:hAnsi="Arial" w:cs="Arial"/>
          <w:sz w:val="10"/>
          <w:lang w:val="sr-Cyrl-RS"/>
        </w:rPr>
      </w:pP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b/>
          <w:noProof w:val="0"/>
          <w:color w:val="000000"/>
          <w:lang w:eastAsia="sr-Latn-RS"/>
        </w:rPr>
        <w:t>ГОДИШЊИ ПРОГРАМ</w:t>
      </w:r>
      <w:r>
        <w:rPr>
          <w:rFonts w:ascii="Arial" w:eastAsia="Times New Roman" w:hAnsi="Arial" w:cs="Arial"/>
          <w:b/>
          <w:noProof w:val="0"/>
          <w:color w:val="000000"/>
          <w:lang w:eastAsia="sr-Latn-RS"/>
        </w:rPr>
        <w:br/>
      </w:r>
      <w:r w:rsidRPr="00D9718B">
        <w:rPr>
          <w:rFonts w:ascii="Arial" w:eastAsia="Times New Roman" w:hAnsi="Arial" w:cs="Arial"/>
          <w:b/>
          <w:noProof w:val="0"/>
          <w:color w:val="000000"/>
          <w:lang w:eastAsia="sr-Latn-RS"/>
        </w:rPr>
        <w:t>ПОСТРЕГИСТРАЦИОНЕ КОНТРОЛЕ СРЕДСТАВА ЗА ЗАШТИТУ БИЉА ЗА 2020. ГОДИНУ</w:t>
      </w:r>
      <w:r w:rsidRPr="00D9718B">
        <w:rPr>
          <w:rFonts w:ascii="Arial" w:eastAsia="Times New Roman" w:hAnsi="Arial" w:cs="Arial"/>
          <w:b/>
          <w:noProof w:val="0"/>
          <w:color w:val="000000"/>
          <w:sz w:val="15"/>
          <w:szCs w:val="15"/>
          <w:vertAlign w:val="superscript"/>
          <w:lang w:eastAsia="sr-Latn-RS"/>
        </w:rPr>
        <w:t>1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I. План узорковања и испитивања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1. Циљ спровођења Годишњег програма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Узорковањем и испитивањем узорака хране биљног и животињског порекла у оквиру Годишњег програма на присуство и ниво остатака средстава за заштиту биља обезбеђује се контрола примене средстава за заштиту биља, процена угрожености здравља потрошача и провера примене прописа, односно усклађености хране биљног и животињског порекла са прописаним максимално дозвољеним количинама остатака средстава за заштиту биља (у даљем тексту: МДК).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Спровођењем Годишњег програма прикупљају се и подаци који се користе за анализу ризика за поједине категорије хране, а произвођачи, дистрибутери, увозници и потрошачи се упознају о утврђеним неправилностима, док се храна биљног и животињског порекла која не испуњава услове МДК искључује из промета у Републици Србији.</w:t>
      </w:r>
    </w:p>
    <w:p w:rsidR="00D9718B" w:rsidRPr="00D9718B" w:rsidRDefault="00D9718B" w:rsidP="00D9718B">
      <w:pPr>
        <w:spacing w:after="150"/>
        <w:contextualSpacing w:val="0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--------</w:t>
      </w:r>
    </w:p>
    <w:p w:rsidR="00D9718B" w:rsidRPr="00D9718B" w:rsidRDefault="00D9718B" w:rsidP="00D9718B">
      <w:pPr>
        <w:spacing w:after="150"/>
        <w:contextualSpacing w:val="0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1 Годишњи програм заснован је на Спроведбеној ур</w:t>
      </w:r>
      <w:bookmarkStart w:id="0" w:name="_GoBack"/>
      <w:bookmarkEnd w:id="0"/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едби Комисије (ЕУ) број 2018/555 од 9. априла 2018. године о координисаном вишегодишњем програму контроле Европске уније за 2019, 2020. и 2021. годину како би се обезбедила усаглашеност са максималним нивоима резидуа пестицида у и на храни биљног и животињског порекла и проценила изложеност потрошача резидуама пестицда у и на храни биљног и животињског порекла (Службени лист Европске уније L 92, 10.04.2018, стр. 6).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2. Објекти из којих се узима узорак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Узорковање хране биљног и животињског порекла спроводи се: у објектима за складиштење и дистрибуцију, у објектима за продају на велико и мало, код примарних произвођача и на граничним прелазима и местима царињења.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Годишњи програм обухвата храну биљног и животињског порекла, из конвенционалне и органске производње, која је произведена и која је увезена на територију Републике Србије.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3. План узимања узорака, врста и број узорака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 xml:space="preserve">План узорковања и испитивања дат је у Прилогу 1 </w:t>
      </w:r>
      <w:r>
        <w:rPr>
          <w:rFonts w:ascii="Arial" w:eastAsia="Times New Roman" w:hAnsi="Arial" w:cs="Arial"/>
          <w:noProof w:val="0"/>
          <w:color w:val="00000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 xml:space="preserve"> Храна биљног и животињског порекла која се узоркује ради испитивања присуства и нивоа остатака средстава за заштиту биља, који је одштампан уз овај програм и чини његов саставни део и Прилогу 2 </w:t>
      </w:r>
      <w:r>
        <w:rPr>
          <w:rFonts w:ascii="Arial" w:eastAsia="Times New Roman" w:hAnsi="Arial" w:cs="Arial"/>
          <w:noProof w:val="0"/>
          <w:color w:val="00000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 xml:space="preserve"> Активне супстанце чије се присуство и ниво остатака испитује у храни биљног и животињског порекла, који је одштампан уз овај програм и чини његов саставни део.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Храна која се узоркује и активне супстанце које се испитују у узорцима хране утврђене су на основу анализе ризика, узимајући у обзир следеће елементе: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1) процену важности хране у исхрани становништва Републике Србије;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2) податке о остацима средстава за заштиту биља утврђеним у храни у претходним годишњим програмима пострегистрационе контроле средстава за заштиту биља и/или током службених контрола хране;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3) препоруке надлежних тела ЕУ у/на којој храни биљног и животињског порекла треба урадити испитивања на остатке средстава за заштиту биља;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4) информације из Система за брзо обавештавање и узбуњивање за храну (Rapid alert system for food and feed/RASFF) и Међународне мреже органа надлежних за храну (International Food Safety Authorities Network/INFOSAN);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5) храна која до сада није била обухваћена годишњим програмима пострегистрационе контроле средстава за заштиту биља, као и храна која се због теже доступности на тржишту није узоркована у планираном броју у претходним годинама.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 xml:space="preserve">Храна биљног порекла која се узоркују према Спроведбеној уредби 2018/555 је: поморанџе, крушке, киви, карфиол, лук, шаргарепа, кромпир, грашак (сушени), раж, смеђи пиринач (ољуштен), а храна животињског порекла које се узрокује је: живинска маст, овчија маст. Потребно је узорковати најмање 10 узорака храна зa одојчад и малу децу, </w:t>
      </w: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lastRenderedPageBreak/>
        <w:t>изузев прерађене хране за децу на бази житарица, а за сваки од узорака хране зa одојчад и малу децу потребно је узорковати најмање један узорак из органске производње.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4. Начин узимања узорака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Начин узимања узорака хране биљног и животињског порекла за потребе спровођења Годишњег програма обухвата узимање, паковање, обележавање, чување и транспорт узорака у лабораторију за испитивање.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Узимање, паковање, обележавање, чување и транспорт узорака у лабораторију за испитивање врши се у складу са посебним прописом којим се уређују методе узорковања и испитивања хране ради утврђивања остатака средстава за заштиту биља.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Узорковање хране врши надлежна инспекција у складу са овлашћењима утврђеним законом којим се уређује безбедност хране.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5. Испитивање узорака у лабораторији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У току спровођења Годишњег програма методе које се користе за испитивање узорака треба да буду акредитоване у складу са захтевима прописа којим се уређује безбедност хране.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Узорци се анализирају у складу са дефиницијама остатака утврђеним у пропису којим се уређују МДК у храни и храни за животиње.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Извештаји о испитивању, осим резултата према врсти хране и активним супстанцама, треба да садрже и квантификоване податке о извршеним испитивањима са инструменталним техникама и аналитичким методама које су коришћене у складу са процедурама контроле квалитета SANTE/11813/2017 (Упутство за аналитичку контролу квалитета и поступке валидације метода за остатке пестицида и анализу у храни и храни за животиње).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При утврђивању прекорачења МДК лабораторије узимају у обзир мерну несигурност. Ако се од нађених вредности прекорачења МДК одузме 50% мерне несигурности, а преостале количине су мање од МДК онда су прекорачења МДК вредности унутар мерне несигурности и узорак је усаглашен.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За храну која је намењена за одојчад и малу децу, узорци се оцењују на предложеним производима који су спремни за конзумацију или припремљени у складу са упутствима произвођача, узимајући у обзир МДК утврђене прописима којима се уређује здравствена исправност дијететских производа. Када се таква храна може конзумирати онако како се продаје и како је припремљена, резултати се саопштавају на не-припремљеном производу који се као такав продаје.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i/>
          <w:iCs/>
          <w:noProof w:val="0"/>
          <w:color w:val="000000"/>
          <w:lang w:eastAsia="sr-Latn-RS"/>
        </w:rPr>
        <w:t>6. Извештавање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 xml:space="preserve">Лабораторије достављају надлежном органу извештај о спровођењу Годишњег програма који је дат у Прилогу 3 </w:t>
      </w:r>
      <w:r>
        <w:rPr>
          <w:rFonts w:ascii="Arial" w:eastAsia="Times New Roman" w:hAnsi="Arial" w:cs="Arial"/>
          <w:noProof w:val="0"/>
          <w:color w:val="00000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 xml:space="preserve"> Извештај о спровођењу Годишњег програма пострегистрационе контроле средстава за заштиту биља, који је одштампан уз овај програм и чини његов саставни део.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На основу извештаја лабораторија, орган надлежан за послове пољопривреде сачињава Годишњи извештај о спровођењу програма пострегистрационе контроле.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II. Предузимање мера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Када се испитивањем узорака утврди да ниво остатака средства за заштиту биља није у складу са максимално прописаним количинама остатака средства за заштиту биља у храни, предузимају се мере у складу са законом којим се уређују средства за заштиту биља и законом којим се уређује безбедност хране и то: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1) искључивање из промета у Републици Србији хране биљног и животињског порекла која не испуњава услове максимално прописаних количина остатака средстава за заштиту биља у храни, ако је примењиво;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2) спровођење мера којима се дозвољава употреба хране у сврху која се разликује од њене првобитне намене;</w:t>
      </w:r>
    </w:p>
    <w:p w:rsid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D9718B">
        <w:rPr>
          <w:rFonts w:ascii="Arial" w:eastAsia="Times New Roman" w:hAnsi="Arial" w:cs="Arial"/>
          <w:noProof w:val="0"/>
          <w:color w:val="000000"/>
          <w:lang w:eastAsia="sr-Latn-RS"/>
        </w:rPr>
        <w:t>3) спровођења других мера и других одговарајућих радњи.</w:t>
      </w:r>
    </w:p>
    <w:p w:rsidR="00D9718B" w:rsidRPr="00D9718B" w:rsidRDefault="00D9718B" w:rsidP="00D9718B">
      <w:pPr>
        <w:pStyle w:val="basic-paragraph"/>
      </w:pPr>
      <w:r w:rsidRPr="00D9718B">
        <w:rPr>
          <w:color w:val="000000"/>
        </w:rPr>
        <w:br w:type="page"/>
      </w:r>
      <w:r w:rsidRPr="00D9718B">
        <w:t>Прилог 1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Храна биљног и животињског порекла која се узоркује ради испитивања присуства и нивоа остатака средстава за заштиту биља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Табела 1. Храна биљног порекла 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1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) која се узоркује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5747"/>
        <w:gridCol w:w="1820"/>
        <w:gridCol w:w="1059"/>
        <w:gridCol w:w="504"/>
      </w:tblGrid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Врста хране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Конвенционална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Органска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Јабукa(*)(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Јагода (свежа или замрзнута)(*)(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Бресква(*)(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Зелена салата(*)(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Парадајз(*)(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Kупус(*)(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Спанаћ (свеж или замрзнут)(*)(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Овас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зрно(*)(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4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Јечам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зрно(*)(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4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5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Грејпфрут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Поморанџa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Лимун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Мандаринa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Крушкa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Кајсија свежа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Кајсија сува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Трешњa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Вишња (свежа или замрзнута)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Шљива свежа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Шљива сува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Стоно грожђе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Купина (свежа или замрзнута)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Малина (црвене и жуте)(свежа или замрзнута)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Боровница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Киви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Банана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Кромпир (млади)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Кромпир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Слатки кромпир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Цвекла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Шаргарепа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Целер/целер коренаш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Першун коренаш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Ротквица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Црн лук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Млади лук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Паприка слатка/паприка бабура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Патлиџан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Краставац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Корнишон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Тиквица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Диња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Лубеница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Кукуруз шећерац (замрзнут)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Карфиол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Кељ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Келераба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Руколa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Блитвa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Пасуљ (са махунама)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Боранија (свежа или замрзнута)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Пасуљ (без махуна)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Грашак (без махуна) (свеж или замрзнут)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Грашак сушени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Празилук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Гљиве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Хељда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зрно 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4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Пиринач (ољуштени)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 xml:space="preserve">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Пшеница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зрно(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4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Раж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Биљни чај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725</w:t>
            </w:r>
          </w:p>
        </w:tc>
      </w:tr>
    </w:tbl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Табела 2. Храна зa одојчад и малу децу која се узоркује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5874"/>
        <w:gridCol w:w="1684"/>
        <w:gridCol w:w="981"/>
        <w:gridCol w:w="780"/>
      </w:tblGrid>
      <w:tr w:rsidR="00D9718B" w:rsidRPr="00D9718B" w:rsidTr="00D9718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Врста хране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Укупно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Конвенционална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Органска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Храна зa одојчад и малу децу, изузев прерађене хране за децу на бази житарица(*)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Прерађена храна за децу на бази житарица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Прерађена храна за децу на бази житарица и меса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Прерађена храна за децу на бази воћа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Прерађена храна за децу на бази поврћа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Прерађена храна за децу на бази поврћа и меса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Сокови од воћа и поврћа за децу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95</w:t>
            </w:r>
          </w:p>
        </w:tc>
      </w:tr>
    </w:tbl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Табела 3. Храна животињског порекла 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1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) која се узоркује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408"/>
        <w:gridCol w:w="2581"/>
        <w:gridCol w:w="1497"/>
        <w:gridCol w:w="1179"/>
      </w:tblGrid>
      <w:tr w:rsidR="00D9718B" w:rsidRPr="00D9718B" w:rsidTr="00D9718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Врста хране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Укупно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Конвенционална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Органска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Кравље млеко(*)(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6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Свињска маст(*)(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Кравље млеко у праху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Говеђа маст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Овчија маст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Месо живине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Маст живине</w:t>
            </w:r>
            <w:r w:rsidRPr="00D9718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Јаја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кокошија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Маслац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60</w:t>
            </w:r>
          </w:p>
        </w:tc>
      </w:tr>
    </w:tbl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--------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(*) Храна из координисаног вишегодишњег програма контроле Европске уније за 2020. годину.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1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) За непрерађене производе испитују се делови производа на које се односе МДК за главни производ групе или подгрупе из прописа којим се уређују максималне количине остатака средстава за заштиту биља и o храни и храни за животиње за коју се утврђују максимално дозвољене количине остатака средстава за заштиту биља, осим ако није другачије утврђено.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2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) Испитују се непрерађени производи. У случају замрзнутих производа, мора се пријавити фактор прераде, ако је то примењиво. Ако није доступан посебан фактор обраде, тада се примењује задати фактор од 1. 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3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) Ако нема довољно узорака овса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зрно, део потребног броја узорка овса који се не може узети, може се додати броју узорка за јечам, што доводи до смањења броја узорка овса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зрно и пропорционално већег броја узорака јечма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зрно. 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4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) Ако нема довољно узорака житарица ражи, пшенице, овса, хељде или јечма, узоркује се и испитује ражено, пшенично, овсено, хељдино или јечмено брашно, и то од целог зрна и пријављује фактор прераде. Ако нису доступни посебни фактори прераде, тада се примењује задати фактор од 1.</w:t>
      </w: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5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) Ако нема довољно узорака јечма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зрно, део потребног броја узорка јечма који се не може узети, може се додати броју узорка за овас, што доводи до смањења броја узорка јечма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зрно и пропорционално већег броја узорака овса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зрно. </w:t>
      </w:r>
    </w:p>
    <w:p w:rsid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</w:t>
      </w:r>
      <w:r w:rsidRPr="00D9718B">
        <w:rPr>
          <w:rFonts w:ascii="Arial" w:eastAsia="Times New Roman" w:hAnsi="Arial" w:cs="Arial"/>
          <w:noProof w:val="0"/>
          <w:sz w:val="15"/>
          <w:szCs w:val="15"/>
          <w:vertAlign w:val="superscript"/>
          <w:lang w:eastAsia="sr-Latn-RS"/>
        </w:rPr>
        <w:t>6</w:t>
      </w: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) Испитује се свеже (непрерађено) млеко, укључујући замрзнуто, пастеризовано, загрејано, стерилисано или филтрирано млеко.</w:t>
      </w:r>
    </w:p>
    <w:p w:rsid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Прилог 2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Активне супстанце чије се присуство и ниво остатака испитује у храни биљног и животињског порекла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Табела 1. Активне супстанце чије се присуство и ниво остатака испитује у храни биљног порекла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5368"/>
        <w:gridCol w:w="4025"/>
      </w:tblGrid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Активна супстанца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2-fenilfenol (2-Phenylphenol)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Acefat (Acephate)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Acetamiprid (Acetamiprid)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Akrinatrin (Acrinathrin)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Aldrin i dieldrin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Ametoktradin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Azinfos-metil (Azinphos-methyl)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Azoksistrobin (Azoxystrobin)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Bifentrin (Bifenthrin)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Bifenil (Biphenyl)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Bitertanol (Bitertanol)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Boskalid (Boscalid)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Bromopropilat (Bromopropylate)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Bupirimat (Bupirimate)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Buprofezin (Buprofezin)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Kaptan (Captan)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Karbaril (Carbaryl)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Karbofuran (Carbofuran)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Hlorantraniliprol (Chlorantraniliprole)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Hlorfenapir (Chlorfenapyr)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Hlorotalonil (Chlorothalonil)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Hlorprofam (Chlorpropham)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Hlorpirifos (Chlorpyrifos)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Hlorpirifos-metil (Chlorpyrifos-)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Klotianidin (Clothianidin)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Cijazofamid (Cyazofamid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Ciflutrin (Cyfluthrin)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Cimoksanil (Cymoxanil)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Cipermetrin (Cypermethrin)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Ciprodinil (Cyprodinil)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Ciprokonazol (Cyproconazole)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Deltametrin (Delthametrin)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Diazinon (Diazinon)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Dihlorvos (Dichlorvos)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Dikloran (Dicloran)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Dikofol (Dicofol)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Dietofenkarb (Diethofencarb)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Diflubenzuron (Diflubenzuron)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Dimetoat (Dimethoate)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Dimetomorf (Dimethomorph)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Dinikonazol (Diniconazole)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Difenilamin (Diphenylamine)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Emamektin benzoate B1a izražen kao emamektin (Emamectin benzoate B1a, expressed as emamectin)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Endosulfan (Endosulfan)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Epoksikonazol (Epoxyconazole)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Etion (Ethion)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Etirimol (Ethirimol)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Etofenproks (Etofenprox)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Etoksazol (Etoxazole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Famoksadon (Famoxadone)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Fenamidon (Fenamidone)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Fenamifos (Fenamiphos)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Fenarimol (Fenarimol)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Fenazakin (Fenazaquin)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Fenbukonazol (Fenbuconazole)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Fenheksamid (Fenhexamid)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Fenitrotion (Fenitrothion)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Fenoksikarb (Fenoxycarb)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Fenpropatrin (Fenpropathrin)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Fenpropidin (Fenpropidin)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Fenpropimorf (Fenpropimorph)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Fenpiroksimat (Fenpyroximate)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Fention (Fenthion)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Fenvalerat (Fenvalerate)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Fipronil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Flonikamid (Flonicamid)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само у/на кромпиру, крушки, смеђем пиринчу и ражи.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Fluazifop-P-butyl (Fluazifop-P-butyl)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само у/на карфиолу, сушеном грашку, кромпиру и шаргарепи.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Flubendiamid (Flubendiamide)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Fludioksonil (Fludioxonil)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Flufenoksuron (Flufenoxuron)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Fluopikolid (Fluopicolide)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Fluopiram (Fluopyram)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Flukvinokonazol (Fluquinconazole)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Flusilazol (Flusilazole)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Flutriafol (Flutriafol)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Fluksapyrksad (Fluxapyroxad)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Fostiazat (Fosthiazate)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Haloksifop, uključujući haloksifop-P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само у/на сушеном грашку.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Hexakonazol (Hexaconazole)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Heksitiazoks (Hexythiazox)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Imazalil (Imazalyl)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Imidakloprid (Imidacloprid)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Indoksakarb (Indoxacarb)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Iprodion (Iprodione)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Iprovalikarb (Iprovalicarb)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Izokarbofos (Isocarbophos)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Izoprotiolan (Isoprothiolane)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само у/на смеђем пиринчу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Kresoksim-metil (Kresoxim-methyl)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Lambda-cihalotrin (Lambda-cyhalothrin)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Linuron (Linuron)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Lufenuron (Lufenuron)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Malation (Malathion)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Metalaksil i metalaksil-M (Metalaxyl and metalaxil-M)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Metamidofos (Methamidophos)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Mandipropamid (Mandipropamid)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Mepanipirim (Mepanipyrim)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Metidation (Methidathion)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Metomil (Methomyl)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Меtrafenon (Metrafenone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Monokrotofos (Monocrotophos)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Miklobutanil (Myclobutanil)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Oksadiksil (Oxadixyl)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Oksamil (Oxamyl)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Oksidemeton-metil (Oxydemeton-methyl)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Paklobutrazol (Paclobutrazole)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Paration (Parathion)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Paration metil (Parathion 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Penkonazol (Penconazole)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Pensikuron (Pencycuron)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Pendimetalin (Pendimethalin)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Permetrin (Permethrin)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Fosmet (Phosmet)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Pirimikarb (Pirimicarb)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Pirimifos-metil (Pirimifos-methyl)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Prosimidon (Procymidone)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Profenofos (Profenofos)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Propargit (Propargite)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Propikonazol (Propiconazole)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Propizamid (Propyzamide)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Prosulfokarb (Prosulfocarb)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Piraklostrobin (Pyraclostrobin)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Piridaben (Pyridaben)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Pirimetanil (Pyrimethanil)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Piriproksifen (Pyriproxyfen)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Kvinoksifen (Quinoxyfen)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Spirodiklofen (Spirodiclofen)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Spiromesifen (Spiromesifen)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Spiroksamin (Spiroxamine)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Spirotetramat (Spirotetramat)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Tau-fluvalinat (Tau-Fluvalinate)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Tebukonazol (Tebuconazole)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Tebufenpirad (Tebufenpyrad)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Teflubenzuron (Teflubenzuron)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Teflutrin (Tefluthrin)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Terbutilazin (Terbuthylazine)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Tetrakonazol (Tetraconazole)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Tetradifon (Tetradifon)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Испитује се у/на свим производима осим житарица (цереалија).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Tiabendazol (Thiabendazole)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Tiakloprid (Thiacloprid)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Tiametoksam (Thiametoxam)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Tiofanat-metil (Thiophanate-methyl)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Tolklofos-metil (Tolclofos-methyl)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Triadimefon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Triadimenol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Tiodikarb (Thiodicarb)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Triazofos (Triazophos)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Trifloksistrobin (Trifloxystrobin)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Triflumuron (Triflumuron)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Vinklozolin (Vinclozolin)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</w:tbl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Табела 2. Активне супстанце чије се присуство и ниво остатака испитује у храни животињског порекла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8061"/>
        <w:gridCol w:w="1117"/>
      </w:tblGrid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Редни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Активна супстанца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Aldrin and dieldrin (Aldrin i dieldrin)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Bifenthrin (Bifentrin)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Hlordan (Chlordane)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Hlorpirifos (Chlorpyrifos)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Hlorpirifos-metil (Chlorpyrifos-methyl)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Cipermetrin (Cypermethrin)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DDT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Deltametrin (Delthametrin)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Diazinon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Endosulfan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Famoksadon (Famoxadone)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Fenvalerat (Fenvalerate)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Fipronil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Heptahlor (Heptachlor)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Heksahlorbenzen (Hexachlorobenzene)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Heksahlorcikloheksan (HCH, alfa izomer) (Hexachlorcyclohexan (HCH, Alpha-Isomer))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Heksahlorcikloheksan (HCH, beta izomer) (Hexachlorcyclohexan (HCH, Beta-Isomer))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Indoksakarb (Indoxacarb)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Lindan (Lindane)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Metoksihlor (Methoxychlor)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Paration (Parathion)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Permetrin (Permethrin)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Pirimifos-metil (Pirimiphos-methyl)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-</w:t>
            </w:r>
          </w:p>
        </w:tc>
      </w:tr>
    </w:tbl>
    <w:p w:rsid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</w:p>
    <w:p w:rsidR="00D9718B" w:rsidRP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Прилог 3</w:t>
      </w:r>
    </w:p>
    <w:p w:rsidR="00D9718B" w:rsidRPr="00D9718B" w:rsidRDefault="00D9718B" w:rsidP="00D9718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D9718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Извештај о спровођењу Годишњег програма пострегистрационе контроле средстава за заштиту биља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530"/>
        <w:gridCol w:w="790"/>
        <w:gridCol w:w="868"/>
        <w:gridCol w:w="712"/>
        <w:gridCol w:w="961"/>
        <w:gridCol w:w="795"/>
        <w:gridCol w:w="1072"/>
        <w:gridCol w:w="1103"/>
        <w:gridCol w:w="1336"/>
        <w:gridCol w:w="843"/>
        <w:gridCol w:w="826"/>
      </w:tblGrid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Ред.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Врста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>хране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Органски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 xml:space="preserve">производ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>(да/не)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Назив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>производа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Назив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 xml:space="preserve">и седиште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 xml:space="preserve">субјекта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Место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>узорковања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Количина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>од које је узет узорак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Лабораторија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Усаглашено/</w:t>
            </w:r>
          </w:p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неусаглашено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 xml:space="preserve">Разлог </w:t>
            </w: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br/>
              <w:t>неусаглашености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Предузете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Напомена</w:t>
            </w:r>
          </w:p>
        </w:tc>
      </w:tr>
      <w:tr w:rsidR="00D9718B" w:rsidRPr="00D9718B" w:rsidTr="00D97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9718B" w:rsidRPr="00D9718B" w:rsidRDefault="00D9718B" w:rsidP="00D9718B">
            <w:pPr>
              <w:contextualSpacing w:val="0"/>
              <w:rPr>
                <w:rFonts w:ascii="Arial" w:eastAsia="Times New Roman" w:hAnsi="Arial" w:cs="Arial"/>
                <w:noProof w:val="0"/>
                <w:sz w:val="16"/>
                <w:szCs w:val="16"/>
                <w:lang w:eastAsia="sr-Latn-RS"/>
              </w:rPr>
            </w:pPr>
            <w:r w:rsidRPr="00D9718B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sr-Latn-RS"/>
              </w:rPr>
              <w:t>12</w:t>
            </w:r>
          </w:p>
        </w:tc>
      </w:tr>
    </w:tbl>
    <w:p w:rsidR="00D9718B" w:rsidRDefault="00D9718B" w:rsidP="00D9718B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</w:p>
    <w:p w:rsidR="00D9718B" w:rsidRPr="00D9718B" w:rsidRDefault="00D9718B" w:rsidP="00894F6A">
      <w:pPr>
        <w:spacing w:before="6" w:after="1"/>
        <w:rPr>
          <w:rFonts w:ascii="Arial" w:hAnsi="Arial" w:cs="Arial"/>
          <w:sz w:val="10"/>
          <w:lang w:val="sr-Cyrl-RS"/>
        </w:rPr>
      </w:pPr>
    </w:p>
    <w:sectPr w:rsidR="00D9718B" w:rsidRPr="00D9718B" w:rsidSect="00314442">
      <w:footerReference w:type="default" r:id="rId7"/>
      <w:pgSz w:w="12480" w:h="15740"/>
      <w:pgMar w:top="380" w:right="1180" w:bottom="280" w:left="1180" w:header="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0A" w:rsidRDefault="0014680A" w:rsidP="007A5A6D">
      <w:r>
        <w:separator/>
      </w:r>
    </w:p>
  </w:endnote>
  <w:endnote w:type="continuationSeparator" w:id="0">
    <w:p w:rsidR="0014680A" w:rsidRDefault="0014680A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42" w:rsidRPr="00314442" w:rsidRDefault="00314442">
    <w:pPr>
      <w:pStyle w:val="Footer"/>
      <w:jc w:val="center"/>
      <w:rPr>
        <w:caps/>
        <w:color w:val="5B9BD5"/>
      </w:rPr>
    </w:pPr>
    <w:r w:rsidRPr="00314442">
      <w:rPr>
        <w:caps/>
        <w:noProof w:val="0"/>
        <w:color w:val="5B9BD5"/>
      </w:rPr>
      <w:fldChar w:fldCharType="begin"/>
    </w:r>
    <w:r w:rsidRPr="00314442">
      <w:rPr>
        <w:caps/>
        <w:color w:val="5B9BD5"/>
      </w:rPr>
      <w:instrText xml:space="preserve"> PAGE   \* MERGEFORMAT </w:instrText>
    </w:r>
    <w:r w:rsidRPr="00314442">
      <w:rPr>
        <w:caps/>
        <w:noProof w:val="0"/>
        <w:color w:val="5B9BD5"/>
      </w:rPr>
      <w:fldChar w:fldCharType="separate"/>
    </w:r>
    <w:r w:rsidR="0014680A">
      <w:rPr>
        <w:caps/>
        <w:color w:val="5B9BD5"/>
      </w:rPr>
      <w:t>1</w:t>
    </w:r>
    <w:r w:rsidRPr="00314442">
      <w:rPr>
        <w:caps/>
        <w:color w:val="5B9BD5"/>
      </w:rPr>
      <w:fldChar w:fldCharType="end"/>
    </w:r>
  </w:p>
  <w:p w:rsidR="00314442" w:rsidRDefault="0031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0A" w:rsidRDefault="0014680A" w:rsidP="007A5A6D">
      <w:r>
        <w:separator/>
      </w:r>
    </w:p>
  </w:footnote>
  <w:footnote w:type="continuationSeparator" w:id="0">
    <w:p w:rsidR="0014680A" w:rsidRDefault="0014680A" w:rsidP="007A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0395"/>
    <w:rsid w:val="00043E6B"/>
    <w:rsid w:val="0014680A"/>
    <w:rsid w:val="00251BA3"/>
    <w:rsid w:val="002A61CA"/>
    <w:rsid w:val="00314442"/>
    <w:rsid w:val="00497C37"/>
    <w:rsid w:val="004C2BA3"/>
    <w:rsid w:val="004F5E00"/>
    <w:rsid w:val="005F0760"/>
    <w:rsid w:val="0077193D"/>
    <w:rsid w:val="007A5A6D"/>
    <w:rsid w:val="00806E64"/>
    <w:rsid w:val="00894F6A"/>
    <w:rsid w:val="00944E3C"/>
    <w:rsid w:val="009C5050"/>
    <w:rsid w:val="00A31AF5"/>
    <w:rsid w:val="00C77F18"/>
    <w:rsid w:val="00D13326"/>
    <w:rsid w:val="00D33B1B"/>
    <w:rsid w:val="00D9718B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0DFCD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2778</Words>
  <Characters>15841</Characters>
  <Application>Microsoft Office Word</Application>
  <DocSecurity>0</DocSecurity>
  <Lines>132</Lines>
  <Paragraphs>37</Paragraphs>
  <ScaleCrop>false</ScaleCrop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2024-01-26T20:12:00Z</dcterms:created>
  <dcterms:modified xsi:type="dcterms:W3CDTF">2024-01-26T20:17:00Z</dcterms:modified>
</cp:coreProperties>
</file>