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144E93" w:rsidRPr="00932A9A" w:rsidTr="00272DC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44E93" w:rsidRDefault="00144E93" w:rsidP="00272DC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73CB3A6" wp14:editId="2EC4BD5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44E93" w:rsidRPr="00D70371" w:rsidRDefault="00144E93" w:rsidP="00272DCF">
            <w:pPr>
              <w:pStyle w:val="NASLOVZLATO"/>
            </w:pPr>
            <w:bookmarkStart w:id="0" w:name="_GoBack"/>
            <w:r>
              <w:t>ПРАВИЛНИК</w:t>
            </w:r>
          </w:p>
          <w:p w:rsidR="00144E93" w:rsidRPr="00E47211" w:rsidRDefault="00144E93" w:rsidP="00272DCF">
            <w:pPr>
              <w:pStyle w:val="NASLOVBELO"/>
              <w:rPr>
                <w:lang w:val="en-US"/>
              </w:rPr>
            </w:pPr>
            <w:r>
              <w:rPr>
                <w:lang w:val="en-US"/>
              </w:rPr>
              <w:t>О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ДОПУНИ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ПРАВИЛНИКА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БЛИЖИМ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УСЛОВИМА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ПОГЛЕДУ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ПРОСТОРА</w:t>
            </w:r>
            <w:r w:rsidRPr="00144E93">
              <w:rPr>
                <w:lang w:val="en-US"/>
              </w:rPr>
              <w:t xml:space="preserve">, </w:t>
            </w:r>
            <w:r>
              <w:rPr>
                <w:lang w:val="en-US"/>
              </w:rPr>
              <w:t>ОПРЕМЕ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НАСТАВНИХ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СРЕДСТАВА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ОСТВАРИВАЊЕ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НАСТАВНИХ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ПЛАНОВА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ЗА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ОБРАЗОВНЕ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ПРОФИЛЕ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ТРОГОДИШЊЕМ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ЧЕТВОРОГОДИШЊЕМ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ТРАЈАЊУ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СТРУЧНИМ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ШКОЛАМА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МАШИНСТВО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ОБРАДА</w:t>
            </w:r>
            <w:r w:rsidRPr="00144E93">
              <w:rPr>
                <w:lang w:val="en-US"/>
              </w:rPr>
              <w:t xml:space="preserve"> </w:t>
            </w:r>
            <w:r>
              <w:rPr>
                <w:lang w:val="en-US"/>
              </w:rPr>
              <w:t>МЕТАЛА</w:t>
            </w:r>
          </w:p>
          <w:bookmarkEnd w:id="0"/>
          <w:p w:rsidR="00144E93" w:rsidRPr="00215591" w:rsidRDefault="00144E93" w:rsidP="00272DCF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3</w:t>
            </w:r>
            <w:r w:rsidRPr="00D5247D">
              <w:t>/2022)</w:t>
            </w:r>
          </w:p>
        </w:tc>
      </w:tr>
    </w:tbl>
    <w:p w:rsidR="00144E93" w:rsidRDefault="00144E93" w:rsidP="00144E93">
      <w:pPr>
        <w:pStyle w:val="BodyText"/>
        <w:rPr>
          <w:sz w:val="20"/>
        </w:rPr>
      </w:pPr>
    </w:p>
    <w:p w:rsidR="004F5254" w:rsidRDefault="004F5254">
      <w:pPr>
        <w:pStyle w:val="BodyText"/>
        <w:rPr>
          <w:sz w:val="20"/>
        </w:rPr>
      </w:pPr>
    </w:p>
    <w:p w:rsidR="004F5254" w:rsidRDefault="004F5254">
      <w:pPr>
        <w:pStyle w:val="BodyText"/>
        <w:rPr>
          <w:sz w:val="20"/>
        </w:rPr>
      </w:pPr>
    </w:p>
    <w:p w:rsidR="004F5254" w:rsidRDefault="004F5254">
      <w:pPr>
        <w:pStyle w:val="BodyText"/>
        <w:rPr>
          <w:sz w:val="20"/>
        </w:rPr>
      </w:pPr>
    </w:p>
    <w:p w:rsidR="004F5254" w:rsidRDefault="004F5254">
      <w:pPr>
        <w:pStyle w:val="BodyText"/>
        <w:rPr>
          <w:sz w:val="20"/>
        </w:rPr>
      </w:pPr>
    </w:p>
    <w:p w:rsidR="004F5254" w:rsidRDefault="004F5254">
      <w:pPr>
        <w:rPr>
          <w:sz w:val="20"/>
        </w:rPr>
        <w:sectPr w:rsidR="004F5254">
          <w:footerReference w:type="default" r:id="rId7"/>
          <w:type w:val="continuous"/>
          <w:pgSz w:w="11910" w:h="16840"/>
          <w:pgMar w:top="1580" w:right="580" w:bottom="280" w:left="580" w:header="720" w:footer="720" w:gutter="0"/>
          <w:cols w:space="720"/>
        </w:sectPr>
      </w:pPr>
    </w:p>
    <w:p w:rsidR="004F5254" w:rsidRDefault="004F5254">
      <w:pPr>
        <w:pStyle w:val="BodyText"/>
        <w:rPr>
          <w:sz w:val="20"/>
        </w:rPr>
      </w:pPr>
    </w:p>
    <w:p w:rsidR="004F5254" w:rsidRDefault="004F5254">
      <w:pPr>
        <w:pStyle w:val="BodyText"/>
        <w:spacing w:before="9"/>
        <w:rPr>
          <w:sz w:val="19"/>
        </w:rPr>
      </w:pPr>
    </w:p>
    <w:p w:rsidR="004F5254" w:rsidRDefault="00144E93">
      <w:pPr>
        <w:pStyle w:val="BodyText"/>
        <w:spacing w:line="232" w:lineRule="auto"/>
        <w:ind w:left="100" w:right="38" w:firstLine="396"/>
        <w:jc w:val="both"/>
      </w:pPr>
      <w:bookmarkStart w:id="1" w:name="1_Правилник_о_допуни_Правилника_о_ближим"/>
      <w:bookmarkStart w:id="2" w:name="2_Правилник_о_допуни_Правилника_о_ближим"/>
      <w:bookmarkEnd w:id="1"/>
      <w:bookmarkEnd w:id="2"/>
      <w:r>
        <w:t>На основу члана 92. став 2. Закона о основама система обра- зовања и васпитања („Службени гласник РС”, бр. 88/17, 27/18</w:t>
      </w:r>
    </w:p>
    <w:p w:rsidR="004F5254" w:rsidRDefault="00144E93">
      <w:pPr>
        <w:pStyle w:val="BodyText"/>
        <w:spacing w:before="1" w:line="232" w:lineRule="auto"/>
        <w:ind w:left="100" w:right="38"/>
        <w:jc w:val="both"/>
      </w:pPr>
      <w:r>
        <w:t>– др. закон, 10/19, 6/20 и 129/21) и члана 17. став 4. и члана 24. став 2. Закона о Влади („Службени гласник РС”, бр. 55/05, 71/05 – исправка, 101/07, 65/08, 16/11, 68/12 – УС, 72/12, 7/14 – УС, 44/14</w:t>
      </w:r>
    </w:p>
    <w:p w:rsidR="004F5254" w:rsidRDefault="00144E93">
      <w:pPr>
        <w:pStyle w:val="BodyText"/>
        <w:spacing w:line="200" w:lineRule="exact"/>
        <w:ind w:left="100"/>
      </w:pPr>
      <w:r>
        <w:t>и 30/18 – др. закон),</w:t>
      </w:r>
    </w:p>
    <w:p w:rsidR="004F5254" w:rsidRDefault="00144E93">
      <w:pPr>
        <w:pStyle w:val="BodyText"/>
        <w:spacing w:line="204" w:lineRule="exact"/>
        <w:ind w:left="497"/>
      </w:pPr>
      <w:r>
        <w:t>Министар просвете, науке и технолошког развоја доноси</w:t>
      </w:r>
    </w:p>
    <w:p w:rsidR="004F5254" w:rsidRDefault="004F5254">
      <w:pPr>
        <w:pStyle w:val="BodyText"/>
        <w:spacing w:before="11"/>
        <w:rPr>
          <w:sz w:val="25"/>
        </w:rPr>
      </w:pPr>
    </w:p>
    <w:p w:rsidR="004F5254" w:rsidRDefault="00144E93">
      <w:pPr>
        <w:pStyle w:val="Heading1"/>
        <w:ind w:left="1978" w:right="1887"/>
      </w:pPr>
      <w:r>
        <w:t xml:space="preserve">П РАВИЛНИК </w:t>
      </w:r>
    </w:p>
    <w:p w:rsidR="004F5254" w:rsidRDefault="00144E93">
      <w:pPr>
        <w:spacing w:before="181" w:line="252" w:lineRule="auto"/>
        <w:ind w:left="114" w:right="53"/>
        <w:jc w:val="center"/>
        <w:rPr>
          <w:b/>
          <w:sz w:val="20"/>
        </w:rPr>
      </w:pPr>
      <w:r>
        <w:rPr>
          <w:b/>
          <w:sz w:val="20"/>
        </w:rPr>
        <w:t xml:space="preserve">o допуни Правилника о ближим условима у </w:t>
      </w:r>
      <w:r>
        <w:rPr>
          <w:b/>
          <w:spacing w:val="-3"/>
          <w:sz w:val="20"/>
        </w:rPr>
        <w:t xml:space="preserve">погледу </w:t>
      </w:r>
      <w:r>
        <w:rPr>
          <w:b/>
          <w:sz w:val="20"/>
        </w:rPr>
        <w:t>простора, опреме и наставних средстава за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остваривање наставних планова и програма образовања и васпитања за стручне предмете за образовне пр</w:t>
      </w:r>
      <w:r>
        <w:rPr>
          <w:b/>
          <w:sz w:val="20"/>
        </w:rPr>
        <w:t>офиле у трогодишњем и четворогодишњем трајању у стручним школама у подручју рада Машинство и обрада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>метала</w:t>
      </w:r>
    </w:p>
    <w:p w:rsidR="004F5254" w:rsidRDefault="004F5254">
      <w:pPr>
        <w:pStyle w:val="BodyText"/>
        <w:spacing w:before="5"/>
        <w:rPr>
          <w:b/>
          <w:sz w:val="32"/>
        </w:rPr>
      </w:pPr>
    </w:p>
    <w:p w:rsidR="004F5254" w:rsidRDefault="00144E93">
      <w:pPr>
        <w:pStyle w:val="BodyText"/>
        <w:spacing w:line="204" w:lineRule="exact"/>
        <w:ind w:left="1946" w:right="1887"/>
        <w:jc w:val="center"/>
      </w:pPr>
      <w:r>
        <w:t>Члан 1.</w:t>
      </w:r>
    </w:p>
    <w:p w:rsidR="004F5254" w:rsidRDefault="00144E93">
      <w:pPr>
        <w:pStyle w:val="BodyText"/>
        <w:spacing w:before="2" w:line="232" w:lineRule="auto"/>
        <w:ind w:left="100" w:right="38" w:firstLine="396"/>
        <w:jc w:val="both"/>
      </w:pPr>
      <w:r>
        <w:t xml:space="preserve">У Правилнику о ближим условима у </w:t>
      </w:r>
      <w:r>
        <w:rPr>
          <w:spacing w:val="-3"/>
        </w:rPr>
        <w:t xml:space="preserve">погледу </w:t>
      </w:r>
      <w:r>
        <w:t>простора, опре- ме и наставних средстава за остваривање наставних планова и програма образовања и в</w:t>
      </w:r>
      <w:r>
        <w:t xml:space="preserve">аспитања за стручне предмете за обра- зовне профиле у трогодишњем и четворогодишњем трајању у стручним </w:t>
      </w:r>
      <w:r>
        <w:rPr>
          <w:spacing w:val="-3"/>
        </w:rPr>
        <w:t xml:space="preserve">школама </w:t>
      </w:r>
      <w:r>
        <w:t xml:space="preserve">у подручју рада Машинство и обрада метала („Службени </w:t>
      </w:r>
      <w:r>
        <w:rPr>
          <w:spacing w:val="-3"/>
        </w:rPr>
        <w:t xml:space="preserve">гласник </w:t>
      </w:r>
      <w:r>
        <w:t>РС – Просветни гласник”,</w:t>
      </w:r>
      <w:r>
        <w:rPr>
          <w:spacing w:val="-33"/>
        </w:rPr>
        <w:t xml:space="preserve"> </w:t>
      </w:r>
      <w:r>
        <w:t>бр. 17/15, 7/16, 4/17 5/17, 11/17, 4/18 и 13/18), после дел</w:t>
      </w:r>
      <w:r>
        <w:t xml:space="preserve">а: „НОРМАТИВ О БЛИЖИМ УСЛОВИМА У </w:t>
      </w:r>
      <w:r>
        <w:rPr>
          <w:spacing w:val="-3"/>
        </w:rPr>
        <w:t xml:space="preserve">ПОГЛЕДУ ПРОСТОРА, </w:t>
      </w:r>
      <w:r>
        <w:t xml:space="preserve">ОПРЕМЕ И </w:t>
      </w:r>
      <w:r>
        <w:rPr>
          <w:spacing w:val="-3"/>
        </w:rPr>
        <w:t xml:space="preserve">НАСТАВ- </w:t>
      </w:r>
      <w:r>
        <w:t xml:space="preserve">НИХ </w:t>
      </w:r>
      <w:r>
        <w:rPr>
          <w:spacing w:val="-3"/>
        </w:rPr>
        <w:t xml:space="preserve">СРЕДСТАВА </w:t>
      </w:r>
      <w:r>
        <w:t xml:space="preserve">ЗА </w:t>
      </w:r>
      <w:r>
        <w:rPr>
          <w:spacing w:val="-3"/>
        </w:rPr>
        <w:t xml:space="preserve">ОСТВАРИВАЊЕ ПЛАНОВА </w:t>
      </w:r>
      <w:r>
        <w:t xml:space="preserve">И </w:t>
      </w:r>
      <w:r>
        <w:rPr>
          <w:spacing w:val="-4"/>
        </w:rPr>
        <w:t xml:space="preserve">ПРОГРА- </w:t>
      </w:r>
      <w:r>
        <w:t xml:space="preserve">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СТРУЧНЕ ПРЕДМЕТЕ ЗА </w:t>
      </w:r>
      <w:r>
        <w:rPr>
          <w:spacing w:val="-4"/>
        </w:rPr>
        <w:t xml:space="preserve">ОБРАЗОВНИ </w:t>
      </w:r>
      <w:r>
        <w:t xml:space="preserve">ПРОФИЛ ТЕХНИЧАР ЗА КОМПЈУТЕРСКО </w:t>
      </w:r>
      <w:r>
        <w:rPr>
          <w:spacing w:val="-4"/>
        </w:rPr>
        <w:t xml:space="preserve">УПРАВЉАЊЕ  </w:t>
      </w:r>
      <w:r>
        <w:t>(CNC) МАШИНА”, додаје се део: „НОРМАТИВ</w:t>
      </w:r>
      <w:r>
        <w:t xml:space="preserve">  О БЛИЖИМ УСЛОВИМА У </w:t>
      </w:r>
      <w:r>
        <w:rPr>
          <w:spacing w:val="-3"/>
        </w:rPr>
        <w:t xml:space="preserve">ПОГЛЕДУ </w:t>
      </w:r>
      <w:r>
        <w:rPr>
          <w:spacing w:val="-4"/>
        </w:rPr>
        <w:t xml:space="preserve">ПРОСТОРА,  </w:t>
      </w:r>
      <w:r>
        <w:t xml:space="preserve">ОПРЕМЕ  И </w:t>
      </w:r>
      <w:r>
        <w:rPr>
          <w:spacing w:val="-3"/>
        </w:rPr>
        <w:t xml:space="preserve">НАСТАВНИХ СРЕДСТАВА </w:t>
      </w:r>
      <w:r>
        <w:t xml:space="preserve">ЗА  </w:t>
      </w:r>
      <w:r>
        <w:rPr>
          <w:spacing w:val="-3"/>
        </w:rPr>
        <w:t xml:space="preserve">ОСТВАРИВАЊЕ  ПЛАНОВА </w:t>
      </w:r>
      <w:r>
        <w:t xml:space="preserve">И </w:t>
      </w:r>
      <w:r>
        <w:rPr>
          <w:spacing w:val="-4"/>
        </w:rPr>
        <w:t xml:space="preserve">ПРОГРАМА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СТРУЧНЕ ПРЕДМЕТЕ ЗА </w:t>
      </w:r>
      <w:r>
        <w:rPr>
          <w:spacing w:val="-4"/>
        </w:rPr>
        <w:t xml:space="preserve">ОБРАЗОВНИ </w:t>
      </w:r>
      <w:r>
        <w:t>ПРОФИЛ ТЕХНИЧАР ЗА</w:t>
      </w:r>
      <w:r>
        <w:rPr>
          <w:spacing w:val="40"/>
        </w:rPr>
        <w:t xml:space="preserve"> </w:t>
      </w:r>
      <w:r>
        <w:t>ДИЗАЈН</w:t>
      </w:r>
    </w:p>
    <w:p w:rsidR="004F5254" w:rsidRDefault="00144E93">
      <w:pPr>
        <w:pStyle w:val="BodyText"/>
        <w:spacing w:before="5" w:line="232" w:lineRule="auto"/>
        <w:ind w:left="100" w:right="39"/>
        <w:jc w:val="both"/>
      </w:pPr>
      <w:r>
        <w:t>У МАШИНСТВУ”, који је одштампан уз овај правилник и чини његов саст</w:t>
      </w:r>
      <w:r>
        <w:t>авни део.</w:t>
      </w:r>
    </w:p>
    <w:p w:rsidR="004F5254" w:rsidRDefault="004F5254">
      <w:pPr>
        <w:pStyle w:val="BodyText"/>
        <w:spacing w:before="3"/>
        <w:rPr>
          <w:sz w:val="24"/>
        </w:rPr>
      </w:pPr>
    </w:p>
    <w:p w:rsidR="004F5254" w:rsidRDefault="00144E93">
      <w:pPr>
        <w:pStyle w:val="BodyText"/>
        <w:spacing w:line="204" w:lineRule="exact"/>
        <w:ind w:left="1946" w:right="1887"/>
        <w:jc w:val="center"/>
      </w:pPr>
      <w:r>
        <w:t>Члан 2.</w:t>
      </w:r>
    </w:p>
    <w:p w:rsidR="004F5254" w:rsidRDefault="00144E93">
      <w:pPr>
        <w:pStyle w:val="BodyText"/>
        <w:spacing w:before="2" w:line="232" w:lineRule="auto"/>
        <w:ind w:left="100" w:right="38" w:firstLine="396"/>
        <w:jc w:val="both"/>
      </w:pPr>
      <w:r>
        <w:t>Овај правилник ступа на снагу осмог дана од дана објављи- вања у „Службеном гласнику Републике Србије – Просветном гласнику”.</w:t>
      </w:r>
    </w:p>
    <w:p w:rsidR="004F5254" w:rsidRDefault="00144E93">
      <w:pPr>
        <w:pStyle w:val="BodyText"/>
        <w:spacing w:before="6"/>
        <w:rPr>
          <w:sz w:val="19"/>
        </w:rPr>
      </w:pPr>
      <w:r>
        <w:br w:type="column"/>
      </w:r>
    </w:p>
    <w:p w:rsidR="004F5254" w:rsidRDefault="00144E93">
      <w:pPr>
        <w:pStyle w:val="Heading2"/>
        <w:spacing w:line="204" w:lineRule="exact"/>
      </w:pPr>
      <w:r>
        <w:t>НОРМАТИВ</w:t>
      </w:r>
    </w:p>
    <w:p w:rsidR="004F5254" w:rsidRDefault="00144E93">
      <w:pPr>
        <w:spacing w:before="2" w:line="232" w:lineRule="auto"/>
        <w:ind w:left="100" w:right="132" w:hanging="2"/>
        <w:jc w:val="center"/>
        <w:rPr>
          <w:b/>
          <w:sz w:val="18"/>
        </w:rPr>
      </w:pPr>
      <w:r>
        <w:rPr>
          <w:b/>
          <w:sz w:val="18"/>
        </w:rPr>
        <w:t xml:space="preserve">О БЛИЖИМ УСЛОВИМА У </w:t>
      </w:r>
      <w:r>
        <w:rPr>
          <w:b/>
          <w:spacing w:val="-5"/>
          <w:sz w:val="18"/>
        </w:rPr>
        <w:t xml:space="preserve">ПОГЛЕДУ </w:t>
      </w:r>
      <w:r>
        <w:rPr>
          <w:b/>
          <w:spacing w:val="-3"/>
          <w:sz w:val="18"/>
        </w:rPr>
        <w:t xml:space="preserve">ШКОЛСКОГ </w:t>
      </w:r>
      <w:r>
        <w:rPr>
          <w:b/>
          <w:spacing w:val="-4"/>
          <w:sz w:val="18"/>
        </w:rPr>
        <w:t xml:space="preserve">ПРОСТОРА, </w:t>
      </w:r>
      <w:r>
        <w:rPr>
          <w:b/>
          <w:sz w:val="18"/>
        </w:rPr>
        <w:t xml:space="preserve">ОПРЕМЕ И </w:t>
      </w:r>
      <w:r>
        <w:rPr>
          <w:b/>
          <w:spacing w:val="-3"/>
          <w:sz w:val="18"/>
        </w:rPr>
        <w:t xml:space="preserve">НАСТАВНИХ СРЕДСТАВА </w:t>
      </w:r>
      <w:r>
        <w:rPr>
          <w:b/>
          <w:sz w:val="18"/>
        </w:rPr>
        <w:t xml:space="preserve">ЗА </w:t>
      </w:r>
      <w:r>
        <w:rPr>
          <w:b/>
          <w:spacing w:val="-3"/>
          <w:sz w:val="18"/>
        </w:rPr>
        <w:t xml:space="preserve">ОСТВАРИВАЊЕ </w:t>
      </w:r>
      <w:r>
        <w:rPr>
          <w:b/>
          <w:sz w:val="18"/>
        </w:rPr>
        <w:t xml:space="preserve">ПЛАНОВА И </w:t>
      </w:r>
      <w:r>
        <w:rPr>
          <w:b/>
          <w:spacing w:val="-4"/>
          <w:sz w:val="18"/>
        </w:rPr>
        <w:t xml:space="preserve">ПРОГРАМА </w:t>
      </w:r>
      <w:r>
        <w:rPr>
          <w:b/>
          <w:spacing w:val="-5"/>
          <w:sz w:val="18"/>
        </w:rPr>
        <w:t xml:space="preserve">ОБРАЗОВАЊА </w:t>
      </w:r>
      <w:r>
        <w:rPr>
          <w:b/>
          <w:sz w:val="18"/>
        </w:rPr>
        <w:t xml:space="preserve">И </w:t>
      </w:r>
      <w:r>
        <w:rPr>
          <w:b/>
          <w:spacing w:val="-4"/>
          <w:sz w:val="18"/>
        </w:rPr>
        <w:t xml:space="preserve">ВАСПИТАЊА </w:t>
      </w:r>
      <w:r>
        <w:rPr>
          <w:b/>
          <w:sz w:val="18"/>
        </w:rPr>
        <w:t xml:space="preserve">ЗА СТРУЧНЕ ПРЕДМЕТЕ ЗА </w:t>
      </w:r>
      <w:r>
        <w:rPr>
          <w:b/>
          <w:spacing w:val="-4"/>
          <w:sz w:val="18"/>
        </w:rPr>
        <w:t xml:space="preserve">ОБРАЗОВНИ </w:t>
      </w:r>
      <w:r>
        <w:rPr>
          <w:b/>
          <w:sz w:val="18"/>
        </w:rPr>
        <w:t>ПРОФИЛ ТЕХНИЧАР ЗА ДИЗАЈН У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МАШИНСТВУ</w:t>
      </w:r>
    </w:p>
    <w:p w:rsidR="004F5254" w:rsidRDefault="00144E93">
      <w:pPr>
        <w:spacing w:before="167"/>
        <w:ind w:left="783" w:right="815"/>
        <w:jc w:val="center"/>
        <w:rPr>
          <w:b/>
          <w:sz w:val="18"/>
        </w:rPr>
      </w:pPr>
      <w:r>
        <w:rPr>
          <w:b/>
          <w:sz w:val="18"/>
        </w:rPr>
        <w:t>Предмет: ЦРТАЊЕ, СЛИКАЊЕ И ВАЈАЊЕ</w:t>
      </w:r>
    </w:p>
    <w:p w:rsidR="004F5254" w:rsidRDefault="004F5254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005"/>
        <w:gridCol w:w="650"/>
        <w:gridCol w:w="376"/>
        <w:gridCol w:w="737"/>
      </w:tblGrid>
      <w:tr w:rsidR="004F5254">
        <w:trPr>
          <w:trHeight w:val="360"/>
        </w:trPr>
        <w:tc>
          <w:tcPr>
            <w:tcW w:w="340" w:type="dxa"/>
          </w:tcPr>
          <w:p w:rsidR="004F5254" w:rsidRDefault="00144E93">
            <w:pPr>
              <w:pStyle w:val="TableParagraph"/>
              <w:spacing w:before="98"/>
              <w:ind w:left="69"/>
              <w:rPr>
                <w:sz w:val="14"/>
              </w:rPr>
            </w:pPr>
            <w:r>
              <w:rPr>
                <w:sz w:val="14"/>
              </w:rPr>
              <w:t>Р.б.</w:t>
            </w: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spacing w:before="98"/>
              <w:ind w:left="500"/>
              <w:rPr>
                <w:sz w:val="14"/>
              </w:rPr>
            </w:pPr>
            <w:r>
              <w:rPr>
                <w:sz w:val="14"/>
              </w:rPr>
              <w:t>Врста и назив наставног средства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left="183" w:right="154" w:firstLine="30"/>
              <w:rPr>
                <w:sz w:val="14"/>
              </w:rPr>
            </w:pPr>
            <w:r>
              <w:rPr>
                <w:sz w:val="14"/>
              </w:rPr>
              <w:t>Јед. мере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spacing w:before="98"/>
              <w:ind w:left="32" w:right="24"/>
              <w:jc w:val="center"/>
              <w:rPr>
                <w:sz w:val="14"/>
              </w:rPr>
            </w:pPr>
            <w:r>
              <w:rPr>
                <w:sz w:val="14"/>
              </w:rPr>
              <w:t>Кол.</w:t>
            </w:r>
          </w:p>
        </w:tc>
        <w:tc>
          <w:tcPr>
            <w:tcW w:w="737" w:type="dxa"/>
          </w:tcPr>
          <w:p w:rsidR="004F5254" w:rsidRDefault="00144E93">
            <w:pPr>
              <w:pStyle w:val="TableParagraph"/>
              <w:spacing w:before="98"/>
              <w:ind w:left="71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4F5254">
        <w:trPr>
          <w:trHeight w:val="360"/>
        </w:trPr>
        <w:tc>
          <w:tcPr>
            <w:tcW w:w="340" w:type="dxa"/>
            <w:vMerge w:val="restart"/>
          </w:tcPr>
          <w:p w:rsidR="004F5254" w:rsidRDefault="004F5254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4F5254" w:rsidRDefault="004F5254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:rsidR="004F5254" w:rsidRDefault="004F5254">
            <w:pPr>
              <w:pStyle w:val="TableParagraph"/>
              <w:spacing w:before="3"/>
              <w:ind w:left="0"/>
              <w:rPr>
                <w:b/>
              </w:rPr>
            </w:pPr>
          </w:p>
          <w:p w:rsidR="004F5254" w:rsidRDefault="00144E93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Жичани модели геометријских тела (коцка, лопта, купа, пирамида...)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spacing w:before="98"/>
              <w:ind w:left="56" w:right="4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spacing w:before="98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Гипсани модели главе и торзоа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right="4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Постаменти за поставку мртве природе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right="4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Табле за цртање (димензија 50 х 70 cm)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right="4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32" w:right="2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Глина за вајање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right="47"/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32" w:right="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Подлоге за вајање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right="4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32" w:right="22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200"/>
        </w:trPr>
        <w:tc>
          <w:tcPr>
            <w:tcW w:w="340" w:type="dxa"/>
            <w:vMerge w:val="restart"/>
          </w:tcPr>
          <w:p w:rsidR="004F5254" w:rsidRDefault="004F5254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4F5254" w:rsidRDefault="00144E93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Цртежи и репродукције из историје уметности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ind w:left="58" w:right="47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F5254">
        <w:trPr>
          <w:trHeight w:val="360"/>
        </w:trPr>
        <w:tc>
          <w:tcPr>
            <w:tcW w:w="340" w:type="dxa"/>
            <w:vMerge/>
            <w:tcBorders>
              <w:top w:val="nil"/>
            </w:tcBorders>
          </w:tcPr>
          <w:p w:rsidR="004F5254" w:rsidRDefault="004F5254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Видео записи са репродукцијама из историје уметности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spacing w:before="98"/>
              <w:ind w:left="58" w:right="47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F5254">
        <w:trPr>
          <w:trHeight w:val="360"/>
        </w:trPr>
        <w:tc>
          <w:tcPr>
            <w:tcW w:w="340" w:type="dxa"/>
          </w:tcPr>
          <w:p w:rsidR="004F5254" w:rsidRDefault="00144E93">
            <w:pPr>
              <w:pStyle w:val="TableParagraph"/>
              <w:spacing w:before="98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05" w:type="dxa"/>
          </w:tcPr>
          <w:p w:rsidR="004F5254" w:rsidRDefault="00144E93">
            <w:pPr>
              <w:pStyle w:val="TableParagraph"/>
              <w:ind w:right="8"/>
              <w:rPr>
                <w:sz w:val="14"/>
              </w:rPr>
            </w:pPr>
            <w:r>
              <w:rPr>
                <w:sz w:val="14"/>
              </w:rPr>
              <w:t>Стручна литература из области цртања и сликања</w:t>
            </w:r>
          </w:p>
        </w:tc>
        <w:tc>
          <w:tcPr>
            <w:tcW w:w="650" w:type="dxa"/>
          </w:tcPr>
          <w:p w:rsidR="004F5254" w:rsidRDefault="00144E93">
            <w:pPr>
              <w:pStyle w:val="TableParagraph"/>
              <w:spacing w:before="98"/>
              <w:ind w:left="58" w:right="47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376" w:type="dxa"/>
          </w:tcPr>
          <w:p w:rsidR="004F5254" w:rsidRDefault="00144E93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37" w:type="dxa"/>
          </w:tcPr>
          <w:p w:rsidR="004F5254" w:rsidRDefault="004F5254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:rsidR="00000000" w:rsidRDefault="00144E93"/>
    <w:sectPr w:rsidR="00000000">
      <w:type w:val="continuous"/>
      <w:pgSz w:w="11910" w:h="16840"/>
      <w:pgMar w:top="1580" w:right="580" w:bottom="280" w:left="580" w:header="720" w:footer="720" w:gutter="0"/>
      <w:cols w:num="2" w:space="720" w:equalWidth="0">
        <w:col w:w="5272" w:space="177"/>
        <w:col w:w="5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93" w:rsidRDefault="00144E93" w:rsidP="00144E93">
      <w:r>
        <w:separator/>
      </w:r>
    </w:p>
  </w:endnote>
  <w:endnote w:type="continuationSeparator" w:id="0">
    <w:p w:rsidR="00144E93" w:rsidRDefault="00144E93" w:rsidP="0014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811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E93" w:rsidRDefault="00144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E93" w:rsidRDefault="00144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93" w:rsidRDefault="00144E93" w:rsidP="00144E93">
      <w:r>
        <w:separator/>
      </w:r>
    </w:p>
  </w:footnote>
  <w:footnote w:type="continuationSeparator" w:id="0">
    <w:p w:rsidR="00144E93" w:rsidRDefault="00144E93" w:rsidP="0014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5254"/>
    <w:rsid w:val="00144E93"/>
    <w:rsid w:val="004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28390FD5-6830-4BA5-BD34-2BA0D9CE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4" w:right="53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783" w:right="815"/>
      <w:jc w:val="center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57"/>
    </w:pPr>
  </w:style>
  <w:style w:type="paragraph" w:customStyle="1" w:styleId="NASLOVZLATO">
    <w:name w:val="NASLOV ZLATO"/>
    <w:basedOn w:val="Title"/>
    <w:qFormat/>
    <w:rsid w:val="00144E9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44E9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44E9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44E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4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E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4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E9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2023-11-02T15:06:00Z</dcterms:created>
  <dcterms:modified xsi:type="dcterms:W3CDTF">2023-11-02T15:10:00Z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2023-11-02T00:00:00Z</vt:filetime>
  </property>
</Properties>
</file>