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DBE5F1" w:themeColor="accent1" w:themeTint="33"/>
  <w:body>
    <w:tbl>
      <w:tblPr>
        <w:tblW w:w="5000" w:type="pct"/>
        <w:tblCellSpacing w:w="15" w:type="dxa"/>
        <w:tblBorders>
          <w:top w:val="outset" w:sz="6" w:space="0" w:color="000000"/>
          <w:left w:val="outset" w:sz="6" w:space="0" w:color="000000"/>
          <w:bottom w:val="outset" w:sz="6" w:space="0" w:color="000000"/>
          <w:right w:val="outset" w:sz="6" w:space="0" w:color="000000"/>
        </w:tblBorders>
        <w:shd w:val="clear" w:color="auto" w:fill="A41E1C"/>
        <w:tblCellMar>
          <w:top w:w="15" w:type="dxa"/>
          <w:left w:w="15" w:type="dxa"/>
          <w:bottom w:w="15" w:type="dxa"/>
          <w:right w:w="15" w:type="dxa"/>
        </w:tblCellMar>
        <w:tblLook w:val="04A0" w:firstRow="1" w:lastRow="0" w:firstColumn="1" w:lastColumn="0" w:noHBand="0" w:noVBand="1"/>
      </w:tblPr>
      <w:tblGrid>
        <w:gridCol w:w="1468"/>
        <w:gridCol w:w="13442"/>
      </w:tblGrid>
      <w:tr w:rsidR="00E621AF" w:rsidRPr="00B34C0C" w:rsidTr="007A21F2">
        <w:trPr>
          <w:tblCellSpacing w:w="15" w:type="dxa"/>
        </w:trPr>
        <w:tc>
          <w:tcPr>
            <w:tcW w:w="476" w:type="pct"/>
            <w:shd w:val="clear" w:color="auto" w:fill="A41E1C"/>
            <w:vAlign w:val="center"/>
          </w:tcPr>
          <w:p w:rsidR="00E621AF" w:rsidRPr="00B34C0C" w:rsidRDefault="00E621AF" w:rsidP="007A21F2">
            <w:pPr>
              <w:pStyle w:val="NASLOVZLATO"/>
              <w:rPr>
                <w:sz w:val="22"/>
                <w:szCs w:val="22"/>
              </w:rPr>
            </w:pPr>
            <w:r w:rsidRPr="00B34C0C">
              <w:rPr>
                <w:sz w:val="22"/>
                <w:szCs w:val="22"/>
                <w:lang w:val="en-US" w:eastAsia="en-US"/>
              </w:rPr>
              <w:drawing>
                <wp:inline distT="0" distB="0" distL="0" distR="0" wp14:anchorId="0CBFED70" wp14:editId="3A048F65">
                  <wp:extent cx="523875" cy="561975"/>
                  <wp:effectExtent l="0" t="0" r="9525" b="9525"/>
                  <wp:docPr id="101" name="Picture 101" descr="fut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ter log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3875" cy="561975"/>
                          </a:xfrm>
                          <a:prstGeom prst="rect">
                            <a:avLst/>
                          </a:prstGeom>
                          <a:noFill/>
                          <a:ln>
                            <a:noFill/>
                          </a:ln>
                        </pic:spPr>
                      </pic:pic>
                    </a:graphicData>
                  </a:graphic>
                </wp:inline>
              </w:drawing>
            </w:r>
          </w:p>
        </w:tc>
        <w:tc>
          <w:tcPr>
            <w:tcW w:w="4483" w:type="pct"/>
            <w:shd w:val="clear" w:color="auto" w:fill="A41E1C"/>
            <w:vAlign w:val="center"/>
            <w:hideMark/>
          </w:tcPr>
          <w:p w:rsidR="00E621AF" w:rsidRPr="00B34C0C" w:rsidRDefault="00A303D8" w:rsidP="007A21F2">
            <w:pPr>
              <w:pStyle w:val="NASLOVBELO"/>
              <w:rPr>
                <w:color w:val="FFE599"/>
                <w:sz w:val="22"/>
                <w:szCs w:val="22"/>
                <w:lang w:val="en-US"/>
              </w:rPr>
            </w:pPr>
            <w:r w:rsidRPr="00B34C0C">
              <w:rPr>
                <w:color w:val="FFE599"/>
                <w:sz w:val="22"/>
                <w:szCs w:val="22"/>
                <w:lang w:val="sr-Cyrl-RS"/>
              </w:rPr>
              <w:t>УРЕДБА</w:t>
            </w:r>
          </w:p>
          <w:p w:rsidR="00E621AF" w:rsidRPr="00B34C0C" w:rsidRDefault="00F65DDB" w:rsidP="007A21F2">
            <w:pPr>
              <w:pStyle w:val="NASLOVBELO"/>
              <w:rPr>
                <w:sz w:val="22"/>
                <w:szCs w:val="22"/>
              </w:rPr>
            </w:pPr>
            <w:r w:rsidRPr="00B34C0C">
              <w:rPr>
                <w:sz w:val="22"/>
                <w:szCs w:val="22"/>
              </w:rPr>
              <w:t>О УТВРЂИВАЊУ ПЛАНА НАМЕНЕ РАДИОФРЕКВЕНЦИЈСКИХ ОПСЕГА</w:t>
            </w:r>
          </w:p>
          <w:p w:rsidR="00E621AF" w:rsidRPr="00B34C0C" w:rsidRDefault="003750F5" w:rsidP="00F01995">
            <w:pPr>
              <w:pStyle w:val="podnaslovpropisa"/>
              <w:rPr>
                <w:sz w:val="22"/>
                <w:szCs w:val="22"/>
              </w:rPr>
            </w:pPr>
            <w:r w:rsidRPr="00B34C0C">
              <w:rPr>
                <w:sz w:val="22"/>
                <w:szCs w:val="22"/>
              </w:rPr>
              <w:t xml:space="preserve">("Сл. гласник РС", бр. </w:t>
            </w:r>
            <w:r w:rsidR="00F01995" w:rsidRPr="00B34C0C">
              <w:rPr>
                <w:sz w:val="22"/>
                <w:szCs w:val="22"/>
                <w:lang w:val="sr-Cyrl-RS"/>
              </w:rPr>
              <w:t>9</w:t>
            </w:r>
            <w:r w:rsidRPr="00B34C0C">
              <w:rPr>
                <w:sz w:val="22"/>
                <w:szCs w:val="22"/>
              </w:rPr>
              <w:t>/2024)</w:t>
            </w:r>
          </w:p>
        </w:tc>
      </w:tr>
    </w:tbl>
    <w:p w:rsidR="00B34C0C" w:rsidRDefault="00B34C0C" w:rsidP="00D23D60">
      <w:pPr>
        <w:widowControl/>
        <w:autoSpaceDE/>
        <w:autoSpaceDN/>
        <w:ind w:firstLine="480"/>
        <w:rPr>
          <w:rFonts w:ascii="Arial" w:hAnsi="Arial" w:cs="Arial"/>
          <w:b/>
          <w:bCs/>
          <w:color w:val="000000"/>
          <w:lang w:val="sr-Cyrl-RS"/>
        </w:rPr>
      </w:pPr>
      <w:bookmarkStart w:id="0" w:name="str_1"/>
      <w:bookmarkEnd w:id="0"/>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b/>
          <w:bCs/>
          <w:color w:val="000000"/>
          <w:sz w:val="20"/>
          <w:szCs w:val="20"/>
        </w:rPr>
        <w:t>ПРИЛОГ 1</w:t>
      </w:r>
    </w:p>
    <w:p w:rsidR="00D23D60" w:rsidRPr="007E52B2" w:rsidRDefault="00D23D60" w:rsidP="00D23D60">
      <w:pPr>
        <w:widowControl/>
        <w:autoSpaceDE/>
        <w:autoSpaceDN/>
        <w:ind w:firstLine="480"/>
        <w:jc w:val="center"/>
        <w:rPr>
          <w:rFonts w:ascii="Arial" w:hAnsi="Arial" w:cs="Arial"/>
          <w:b/>
          <w:bCs/>
          <w:color w:val="000000"/>
          <w:sz w:val="20"/>
          <w:szCs w:val="20"/>
          <w:lang w:val="sr-Cyrl-RS"/>
        </w:rPr>
      </w:pPr>
      <w:r w:rsidRPr="007E52B2">
        <w:rPr>
          <w:rFonts w:ascii="Arial" w:hAnsi="Arial" w:cs="Arial"/>
          <w:b/>
          <w:bCs/>
          <w:color w:val="000000"/>
          <w:sz w:val="20"/>
          <w:szCs w:val="20"/>
        </w:rPr>
        <w:t>ПРЕГЛЕД НОТА КОРИШЋЕНИХ У ПЛАНУ НАМЕНЕ РАДИО-ФРЕКВЕНЦИЈСКИХ ОПСЕГА</w:t>
      </w:r>
    </w:p>
    <w:p w:rsidR="00B34C0C" w:rsidRPr="007E52B2" w:rsidRDefault="00B34C0C" w:rsidP="00D23D60">
      <w:pPr>
        <w:widowControl/>
        <w:autoSpaceDE/>
        <w:autoSpaceDN/>
        <w:ind w:firstLine="480"/>
        <w:jc w:val="center"/>
        <w:rPr>
          <w:rFonts w:ascii="Arial" w:hAnsi="Arial" w:cs="Arial"/>
          <w:b/>
          <w:bCs/>
          <w:color w:val="000000"/>
          <w:sz w:val="20"/>
          <w:szCs w:val="20"/>
          <w:lang w:val="sr-Cyrl-RS"/>
        </w:rPr>
      </w:pP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НАЦИОНАЛНЕ НОТЕ</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SRB1 Фреквенције: 14 kHz, 30 kHz, 45 kHz, 50 kHz, 70 kHz, 150 kHz и 200 kHz користе се за мерење дубине воде.</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SRB2 Не користи се ознака.</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SRB3 Додела фреквенција у фреквенцијским опсезима 415–435 kHz, 435–495 kHz, 505–526.5 kHz, 1606.5–1625 kHz, 1635–1800 kHz и 2045–2160 kHz за станице у поморској мобилној служби врши се сагласно са Финалним актима Административне конференције за планирање MF поморске мобилне и ваздухопловне мобилне радио-навигационе службе (Регион 1), Женева, 1985.</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SRB4 Додела фреквенција у фреквенцијским опсезима 415–435 kHz и 510–526.5 kHz за станице у ваздухопловној радионавигациjској служби (радио-фарови) врши се сагласно са Финалним актима Административне конференције за планирање MF поморске мобилне и ваздухопловне мобилне радионавигациjске службе (Регион 1), Женева, 1985.</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SRB5 Додела фреквенција у фреквенцијском опсегу 526.5–1606.5 kHz за станице у радиодифузној служби врши се сагласно са Финалним актима Регионалне административне конференције о радио-дифузији на километарским и хектометарским таласима, (Региони 1 и 3), Женева, 1975.</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У предметном фреквенцијском опсегу предстоји увођење дигиталних система.</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SRB6 Додела фреквенција за ваздухопловну мобилну (R) службу у опсезима између 2850 kHz и 22000 kHz врши се сагласно са Планом расподеле фреквенција за ваздухопловну мобилну (R) службу, Appendix 27 RR.</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SRB7 Додела фреквенција за ваздухопловну мобилну (ОR) службу у опсезима између 3025 kHz и 18030 kHz врши се сагласно са Планом расподеле фреквенција за ваздухопловну мобилну (ОR) службу, Appendix 26 RR.</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SRB8 Опште фреквенције за опасност и позив, које се користе у радио-везама су: 3819 kHz (за телеграфију) и 3830 kHz (за телефонију).</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Врста емисија радио-станица које раде на фреквенцији 3819 kHz је А1А или Ј2А а врста емисије радио-станица које раде на фреквенцији 3830 kHz је Ј3Е.</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SRB9 Опсег 3950–4000 kHz је намењен за увођење дигиталне радио-дифузије.</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SRB10 Додела фреквенција радио станицама у поморској мобилној служби у опсезима између 4–26 MHz врши се сагласно са Планом расподеле канала који је дат у Appendix 17 RR.</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SRB11 Сезонско планирање HF опсега, који су намењени радиодифузној служби у опсезима између 5900 kHz и 26100 kHz, врши се сагласно са Article 12 RR.</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У предметним фреквенцијским опсезима планира се увођење дигиталних система.</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SRB12 Не користи се ознака.</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SRB13 Не користи се ознака.</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SRB14 Додела фреквенција у фреквенцијском опсегу 29.7 МHz–43.5 GHz у пограничним областима врши се након координације на основу Споразумa између Администрација европских земаља (НСМ Споразум) као и билатералних споразума.</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SRB15 Војска Србије може да користи фреквенцијски опсег 30–87.5 MHz коришћењем технике „фреквенцијског скакања” уз услов да не дође до ометања постојећих система који раде у наведеним фреквенцијским опсезима.</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SRB16 Сви фреквенцијски подопсези опсега 30.01–87.5 MHz, као и фреквенцијски опсег 406.1–410 MHz, који су планом намењени за PMR/PAMR, могу се користити од стране Органа одбране и безбедности – Војске, МУП до тренутка када се укаже потреба за коришћењем истих опсега за PMR/PAMR системе. </w:t>
      </w:r>
      <w:proofErr w:type="gramStart"/>
      <w:r w:rsidRPr="007E52B2">
        <w:rPr>
          <w:rFonts w:ascii="Arial" w:hAnsi="Arial" w:cs="Arial"/>
          <w:color w:val="000000"/>
          <w:sz w:val="20"/>
          <w:szCs w:val="20"/>
        </w:rPr>
        <w:t>Након увођења PMR/PAMR система заједничко коришћење наведених опсега биће могуће уз сагласност регулаторног тела надлежног за област електронских комуникација, без обавезе прибављања дозволе за коришћење радио-фреквенција и плаћање накнаде од стране Органа одбране и безбедности – Војска, МУП.</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SRB17 Коришћење фреквенција у фреквенцијском опсегу 47–68 МHz, за станице у радиодифузној служби врши се сагласно са Финалним актима Европске конференције за VHF/UHF радиодифузију, Штокхолм, 1961, ревидован 2006 у Женеви. У Србији, сагласно Споразуму Штокхолм, 1961 (ревидован 2006, Женева), у опсегу 47–68 МHz, остаје додела за локацију Копаоник 3. </w:t>
      </w:r>
      <w:proofErr w:type="gramStart"/>
      <w:r w:rsidRPr="007E52B2">
        <w:rPr>
          <w:rFonts w:ascii="Arial" w:hAnsi="Arial" w:cs="Arial"/>
          <w:color w:val="000000"/>
          <w:sz w:val="20"/>
          <w:szCs w:val="20"/>
        </w:rPr>
        <w:t>телевизијски</w:t>
      </w:r>
      <w:proofErr w:type="gramEnd"/>
      <w:r w:rsidRPr="007E52B2">
        <w:rPr>
          <w:rFonts w:ascii="Arial" w:hAnsi="Arial" w:cs="Arial"/>
          <w:color w:val="000000"/>
          <w:sz w:val="20"/>
          <w:szCs w:val="20"/>
        </w:rPr>
        <w:t xml:space="preserve"> канал.</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lastRenderedPageBreak/>
        <w:t>SRB18 У опсегу од 50–52 МHz могу да раде аматерске станице које користе аматерски радио-оператори 1 класе под следећим условима:</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аматерске</w:t>
      </w:r>
      <w:proofErr w:type="gramEnd"/>
      <w:r w:rsidRPr="007E52B2">
        <w:rPr>
          <w:rFonts w:ascii="Arial" w:hAnsi="Arial" w:cs="Arial"/>
          <w:color w:val="000000"/>
          <w:sz w:val="20"/>
          <w:szCs w:val="20"/>
        </w:rPr>
        <w:t xml:space="preserve"> станице не смеју да изазивају штетне сметње станицама које раде у складу са</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Табелом, као ни штетне сметње пријему радиодифузног (телевизијског) програма директно или преко заједничких антенских уређаја;</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максимална</w:t>
      </w:r>
      <w:proofErr w:type="gramEnd"/>
      <w:r w:rsidRPr="007E52B2">
        <w:rPr>
          <w:rFonts w:ascii="Arial" w:hAnsi="Arial" w:cs="Arial"/>
          <w:color w:val="000000"/>
          <w:sz w:val="20"/>
          <w:szCs w:val="20"/>
        </w:rPr>
        <w:t xml:space="preserve"> вредност ефективне израчене снаге не сме да прелази вредност од 10 dBW у урбаним срединама, односно вредност од 20 dBW ван урбаних средина;</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коришћење</w:t>
      </w:r>
      <w:proofErr w:type="gramEnd"/>
      <w:r w:rsidRPr="007E52B2">
        <w:rPr>
          <w:rFonts w:ascii="Arial" w:hAnsi="Arial" w:cs="Arial"/>
          <w:color w:val="000000"/>
          <w:sz w:val="20"/>
          <w:szCs w:val="20"/>
        </w:rPr>
        <w:t xml:space="preserve"> мобилних станица у урбаним срединама није дозвољено.</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SRB19 У фреквенцијским опсезима 68-87.5 МHz, 146–174 МHz, 430–432 МHz, 438–440 МHz и 440–470 МHz канални размак износи 25 kHz или 12.5 kHz.</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SRB20 Државни орган/организације надлежан/надлежних за обављање послова противградне одбране користе фреквенције из опсега 68–87.5 MHz, 146–174 MHz и 430–470 MHz само уз претходно прибављене дозволе при чему се накнада за коришћење радио-фреквенција одређује у складу са чланом 97. </w:t>
      </w:r>
      <w:proofErr w:type="gramStart"/>
      <w:r w:rsidRPr="007E52B2">
        <w:rPr>
          <w:rFonts w:ascii="Arial" w:hAnsi="Arial" w:cs="Arial"/>
          <w:color w:val="000000"/>
          <w:sz w:val="20"/>
          <w:szCs w:val="20"/>
        </w:rPr>
        <w:t>став</w:t>
      </w:r>
      <w:proofErr w:type="gramEnd"/>
      <w:r w:rsidRPr="007E52B2">
        <w:rPr>
          <w:rFonts w:ascii="Arial" w:hAnsi="Arial" w:cs="Arial"/>
          <w:color w:val="000000"/>
          <w:sz w:val="20"/>
          <w:szCs w:val="20"/>
        </w:rPr>
        <w:t xml:space="preserve"> 6. </w:t>
      </w:r>
      <w:proofErr w:type="gramStart"/>
      <w:r w:rsidRPr="007E52B2">
        <w:rPr>
          <w:rFonts w:ascii="Arial" w:hAnsi="Arial" w:cs="Arial"/>
          <w:color w:val="000000"/>
          <w:sz w:val="20"/>
          <w:szCs w:val="20"/>
        </w:rPr>
        <w:t>Закона о електронским комуникацијама.</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SRB21 Коришћење фреквенција у фреквенцијском опсегу 87.5–108 МHz за станице у радиодифузној служби врши се сагласно са Финалним актима Регионалне административне конференције за планирање у VHF звучној радио-дифузији (Регион 1 и део Региона 3), Женева, 1984 (Geneva Agreement GE84).</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Приликом пуштања у рад планираних радиодифузних станица обавезно морају да се поштују одредбе члана 5.</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наведеног</w:t>
      </w:r>
      <w:proofErr w:type="gramEnd"/>
      <w:r w:rsidRPr="007E52B2">
        <w:rPr>
          <w:rFonts w:ascii="Arial" w:hAnsi="Arial" w:cs="Arial"/>
          <w:color w:val="000000"/>
          <w:sz w:val="20"/>
          <w:szCs w:val="20"/>
        </w:rPr>
        <w:t xml:space="preserve"> Споразума којима се уређује несметани рад радиодифузне службе у опсегу 87.5–108 МHz и ваздухопловне радионавигацијске службе у опсегу 108–117.995 МHz.</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SRB22 Фреквенцијски опсег 108–111.975 МHz користи се за системе инструменталног слетања, ILS (Localizer).</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SRB23 Фреквенцијски опсег 108–117.975 МHz користи се за станице ваздухопловних радио-фарова, VOR.</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SRB24 Не користи се ознака.</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SRB25 На фреквенцији 137.5 МHz примају се метеоролошки подаци са сателита у метеоролошкој-сателитској служби.</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SRB26 Коришћење опсега 138–144 MHz за копнену мобилну службу на примарној основи, на основу ноте 5.211 RR.</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SRB27 Не користи се ознака.</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SRB28 Рад радио-станицa, функционалних система, које раде у фреквенцијским опсезима 146–174 МHz и 430–470 МHz биће усклађен са одредбама ERC Препоруке T/R 25–08 до 31. </w:t>
      </w:r>
      <w:proofErr w:type="gramStart"/>
      <w:r w:rsidRPr="007E52B2">
        <w:rPr>
          <w:rFonts w:ascii="Arial" w:hAnsi="Arial" w:cs="Arial"/>
          <w:color w:val="000000"/>
          <w:sz w:val="20"/>
          <w:szCs w:val="20"/>
        </w:rPr>
        <w:t>децембра</w:t>
      </w:r>
      <w:proofErr w:type="gramEnd"/>
      <w:r w:rsidRPr="007E52B2">
        <w:rPr>
          <w:rFonts w:ascii="Arial" w:hAnsi="Arial" w:cs="Arial"/>
          <w:color w:val="000000"/>
          <w:sz w:val="20"/>
          <w:szCs w:val="20"/>
        </w:rPr>
        <w:t xml:space="preserve"> 2028. </w:t>
      </w:r>
      <w:proofErr w:type="gramStart"/>
      <w:r w:rsidRPr="007E52B2">
        <w:rPr>
          <w:rFonts w:ascii="Arial" w:hAnsi="Arial" w:cs="Arial"/>
          <w:color w:val="000000"/>
          <w:sz w:val="20"/>
          <w:szCs w:val="20"/>
        </w:rPr>
        <w:t>године</w:t>
      </w:r>
      <w:proofErr w:type="gramEnd"/>
      <w:r w:rsidRPr="007E52B2">
        <w:rPr>
          <w:rFonts w:ascii="Arial" w:hAnsi="Arial" w:cs="Arial"/>
          <w:color w:val="000000"/>
          <w:sz w:val="20"/>
          <w:szCs w:val="20"/>
        </w:rPr>
        <w:t>.</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SRB29 Сагласно Appendix 18 RR фреквенције у фреквенцијском опсегу 156.025–157.425/160.625–162.025 МHz могу се користити за радио-комуникације на унутрашњим пловним путевима.</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Службе које раде на унутрашњим пловним путевима користе фреквенције из наведених фреквенцијских опсега сагласно Регионалном договору који се односи на радиотелефонску службу на унутрашњим пловним путевима, Букурешт, 2012.</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SRB30 Службе које раде у фреквенцијском опсегу 156.025–157.425/160.625–162.025 МHz на унутрашњим пловним путевима у обавези су, такође, да примењују релевантне препоруке Дунавске комисије које регулишу рад тих служби.</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SRB31 Коришћење фреквенцијских опсега 168.575–168.800 MHz и 173.075–173.275 MHz од стране државног органа/организација надлежног/надлежних за обављање послова ватрогасне службе је без обавезе прибављања дозвола и плаћање накнаде за коришћење радио-фреквенција узимајући у обзир заштиту постојећих корисника у наведеним опсезима.</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SRB32 Не користи се ознака.</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SRB33 Коришћење фреквенција у фреквенцијским опсезима 174–230 MHz и 470–694 MHz је сагласно Финалним актима Регионалне конференције о радио-комуникацијама за планирање дигиталне терестричке радиодифузне службе у деловима Региона 1 и 3, у фреквенцијским опсезима 174–230 MHz и 470–862 MHz (Geneva Agreement 2006).</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SRB34 Коришћење фреквенција у фреквенцијским опсезима 174–230 MHz и 470–862 MHz предвиђени су споразумом (Geneva Agreement 2006) и то за терестричку дигиталну радио-дифузију – Т-DAB (дигитална звучна радио-дифузија) у фреквенцијском опсегу 174–230 MHz и, DVB-T2 (дигитална телевизија) у фреквенцијским опсезима 174–230 MHz и 470–694 MHz.</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SRB34A Коришћење фреквенција у фреквенцијском опсегу 470–694 MHz за потребе радиодифузне службе, након доношења одлуке о напуштању радиодифузне службе из опсега 694–790 MHz и завршетка транзиционог периода, вршиће се сагласно резултатима рада SEDDIF групе (мултилатерални и билатерални споразуми).</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SRB34В Коришћење фреквенција у фреквенцијском опсегу 694–790 MHz за MFCN укључујући и BB-PPDR ће бити омогућено након доношења одлуке о напуштању овог опсега од стране радиодифузне службе и завршетка транзиционог периода.</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SRB35 Опсег 400.15–406 МHz намењен је за пријем података са метеоролошких радио-сонди, радио-сондажних ракета и метеоролошких сателита.</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SRB36 Не користи се ознака</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SRB37 У мобилној служби фреквенцијске опсеге 457.450–458.300 МHz и 467.450–468.300 МHz могу користити радио-станице локомотивског радио-диспечерског система на железници у складу са међународним и националним прописима.</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lastRenderedPageBreak/>
        <w:t>SRB38 Ради напуштања фреквенцијских опсега (862–880 МHz и 915–935 МHz) које сада користе Oргани одбране и безбедности и службe за хитне интервенције, за потребе фиксне службе и фреквенцијског опсега 862–880 за потребе радиолокацијске службе на секундарној основи, као и стављање ових опсега на располагање и управљање Влади односно регулаторном телу надлежном за област електронских комуникација, извори финансирања и висина средстава потребних за опремање органа из ове ноте за рад у новонамењеним фреквенцијским опсезима на територији Републике Србије, биће утврђени посебним актом Владе у складу са потребама ових органа. Након обезбеђења потребних финансијских средстава, органи из ове ноте ће напустити наведене опсеге по завршетку процедуре увођења нових електронских система у оперативну употребу</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SRB38A Извори финансирања и висина средстава потребних за опремање Oрганa одбране – Војскe ради напуштања фреквенцијe 668 МHz, која је претходним Планом намене (Уредбa о утврђивању Плана намене радио-фреквенцијских опсега („Службени гласник РС”, број 89/20)) била намењена за радиолокацијску службу на секундарној основи, биће утврђени посебним актом Владе у складу са потребама ових органа. </w:t>
      </w:r>
      <w:proofErr w:type="gramStart"/>
      <w:r w:rsidRPr="007E52B2">
        <w:rPr>
          <w:rFonts w:ascii="Arial" w:hAnsi="Arial" w:cs="Arial"/>
          <w:color w:val="000000"/>
          <w:sz w:val="20"/>
          <w:szCs w:val="20"/>
        </w:rPr>
        <w:t>Након обезбеђења потребних финансијских средстава и завршетка процедуре увођења нових електронских система у оперативну употребу, Oргани одбране – Војска ће напустити наведену фреквенцију.</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SRB39 Не користи се ознака.</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SRB40 Фреквенцијски опсези 876–880 МHz и 921–925 МHz намењени су за UIC системе на железници (GSM-R) и радио системе Органа Одбране – Војске по принципу усаглашене географске поделе.</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SRB41 Коришћење фреквенцијских опсега од стране Органа одбране – Војска, без обавезе прибављања дозволе за коришћење радио-фреквенција и плаћања накнаде, у сарадњи са пружаоцем услуга у ваздушној пловидби, а подразумевајући да Органи одбране – Војска имају приоритет у коришћењу фреквенцијског опсега (1215–1240 MHz, 1240–1300 MHz и 1300–1350 MHz).</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SRB42 Коришћење фреквенција из опсега 1452–1479.5 MHz врши се сагласно Специјалном договору Maastricht 2002rev.Constanza 2007 (MA02revCO07).</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SRB43 Опсег 1525–1535 MHz садржи 19 једносмерних радио-канала за и дигиталне радио-релејне системе са каналним размаком од 0.5 МHz и намењен је за једносмерни пренос радијског модулационог сигнала од студија до предајника.</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SRB44 Не користи се ознака.</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SRB45 Не користи се ознака.</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SRB46 Фреквенцијски опсези 2520–2580 MHz и 2600–2670 MHz као и фреквенцијски опсег 26.5–27.5 GHz се могу користити од стране Органа одбране – Војска до почетка коришћења истог од стране радио-система предвиђених Планом намене до завршетка јавног надметања. </w:t>
      </w:r>
      <w:proofErr w:type="gramStart"/>
      <w:r w:rsidRPr="007E52B2">
        <w:rPr>
          <w:rFonts w:ascii="Arial" w:hAnsi="Arial" w:cs="Arial"/>
          <w:color w:val="000000"/>
          <w:sz w:val="20"/>
          <w:szCs w:val="20"/>
        </w:rPr>
        <w:t>Заједничко коришћење наведеног опсега је могуће уз сагласност регулаторног тела надлежног за област електронских комуникација.</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Изузетно од наведеног фреквенцијски опсег 2570–2580 MHz може се користити од стране Органа одбране – Војска за тактичке радио-релејне системе.</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SRB47 У опсезима: 2700–2900 МHz, 2935–2981 МHz, 5470–5650 МHz, 9300–9500 МHz и 9580–9610 МHz раде метеоролошки радари.</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SRB48 Не користи се ознака.</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SRB49 Не користи се ознака.</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SRB50 У опсегу 3800–4200 МHz радио-релејни системи за потребе радија и телевизије имају предност.</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SRB51 Опсег 3800–4200 МHz садржи радио-каналe са размаком предаја/пријем од 213 МHz и каналним распоредом утврђеним према препорукама ITU-R F. 382–8 и ERC/REC 12–08 Annex B Part 1.</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Користи се за дигиталне радио-релејне системе.</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SRB52 Опсег 5925–8500 МHz намењен је за дигиталне радио-релејне системе за све делатности и МУП на равноправној основи.</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SRB53 Опсег 5925–6425 МHz садржи радио-каналe са каналним размаком од 29.65 МHz и 59.3 MHz и размаком предаја/пријем од 252.04 МHz утврђеним према препорукама ITU-R F. 383–10 и ERC/REC 14–01. </w:t>
      </w:r>
      <w:proofErr w:type="gramStart"/>
      <w:r w:rsidRPr="007E52B2">
        <w:rPr>
          <w:rFonts w:ascii="Arial" w:hAnsi="Arial" w:cs="Arial"/>
          <w:color w:val="000000"/>
          <w:sz w:val="20"/>
          <w:szCs w:val="20"/>
        </w:rPr>
        <w:t>Користи се за дигиталне радио-релејне системе.</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SRB54 Опсег 6425–7125 МHz садржи радио-каналe са каналним размаком од 40 МHz и 80 МHz и размаком предаја/пријем од 340 МHz, утврђеним према препорукама ITU-R F. 384–11 и ERC/REC 14–02. </w:t>
      </w:r>
      <w:proofErr w:type="gramStart"/>
      <w:r w:rsidRPr="007E52B2">
        <w:rPr>
          <w:rFonts w:ascii="Arial" w:hAnsi="Arial" w:cs="Arial"/>
          <w:color w:val="000000"/>
          <w:sz w:val="20"/>
          <w:szCs w:val="20"/>
        </w:rPr>
        <w:t>Користи се за дигиталне радио-релејне системе.</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SRB55 Коришћење фреквенцијског опсега 6720–6780 МHz на секундарној основи од стране органа одбране – Војска за потребе радиолокацијске службе за постојеће системе, на претходно утврђеним локацијама, без обавезе прибављања дозволе за коришћење радио-фреквенција и плаћање накнада за коришћење, уз коришћење централне фреквенције.</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SRB56 Опсег 7125–7425 МHz садржи радио-канале са размаком предаја/пријем од 161 МHz и каналним распоредом утврђеним према препоруци ITU-R F.385–10.</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Користи се за дигиталне радио-релејне системе.</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SRB57 Опсег 7425–7725 МHz садржи 20 двосмерних радио-канала са каналним размаком од 7 MHz и размаком предаја/пријем од 161 МHz, утврђеним према Препоруци ITU-R F.385–10. </w:t>
      </w:r>
      <w:proofErr w:type="gramStart"/>
      <w:r w:rsidRPr="007E52B2">
        <w:rPr>
          <w:rFonts w:ascii="Arial" w:hAnsi="Arial" w:cs="Arial"/>
          <w:color w:val="000000"/>
          <w:sz w:val="20"/>
          <w:szCs w:val="20"/>
        </w:rPr>
        <w:t>Користи се за дигиталне радио-релејне системе са каналним размацима који су умношци каналног размака од 7 MHz.</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SRB58 Опсег 7725–8275 МHz садржи радио-каналe са размаком предаја/пријем од 311.32 МHz и каналним распоредом утврђеним према препоруци ITU-R F. 386–9 Aнекс 6.</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Користи се за дигиталне радио-релејне системе.</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lastRenderedPageBreak/>
        <w:t>SRB59 Опсег 8275–8500 МHz садржи радио-каналe са размаком предаја/пријем од 119 MHz и каналним распоредом утрврђеним према препоруци ITU-R F.386–9 Анекс 2.</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Користи се за дигиталне радио-релејне системе.</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SRB60 У опсегу 10.15–10.3/10.5–10.65 GHz за фиксни бежични приступ и фиксне везе укључујући и везе тачка – више тачака, користе се радио-канали који нису додељени за једносмерни пренос модулационог TV сигнала од студија до предајника.</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SRB61 Опсег 10.30–10.45/10.50–10.68 GHz садржи 14 двосмерних радио-канала са каналним размаком од 10 MHz и размаком предаја/пријем од 230 MHz.</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SRB62 Опсег 10.7–11.7 GHz садржи радио-каналe са размаком предаја/пријем од 530 MHz, минималним каналним размаком од 28 MHz и каналним распоредом утврђеним према препоруци ITU-R F. 387–13. </w:t>
      </w:r>
      <w:proofErr w:type="gramStart"/>
      <w:r w:rsidRPr="007E52B2">
        <w:rPr>
          <w:rFonts w:ascii="Arial" w:hAnsi="Arial" w:cs="Arial"/>
          <w:color w:val="000000"/>
          <w:sz w:val="20"/>
          <w:szCs w:val="20"/>
        </w:rPr>
        <w:t>Користи се за дигиталне радио-релејне системе.</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SRB63 Не користи се ознака</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SRB64 Опсег 12.75–13.25 GHz садржи радио-канале са размаком предаја/пријем од 266 MHz и каналним распоредом утврђеним према препорукама ITU-R F. 497–7 и ERC/REC 12–02.</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Користи се за дигиталне радио-релејне системе.</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SRB65 Опсег 14.5–15.35 GHz садржи радио-каналe са размаком предаја/пријем од 728 MHz и каналним распоредом утврђеним према препорукама ITU-R F. 636–5 и ERC/REC 12–07.</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Користи се за дигиталне радио-релејне системе.</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SRB66 Опсег 17.7–19.7 GHz садржи радио-каналe са размаком предаја/пријем од 1010 MHz и каналним распоредом утврђеним према препоруци ITU-R F. 595–11.</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Користи се за дигиталне радио-релејне системе.</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SRB67 Опсег 21.20–23.60 GHz користи се према Препорукама ITU-R F. 637–5 Анекси 2 и 4 и T/R 13–02 Анекс 1 за дигиталне радио релејне системе. </w:t>
      </w:r>
      <w:proofErr w:type="gramStart"/>
      <w:r w:rsidRPr="007E52B2">
        <w:rPr>
          <w:rFonts w:ascii="Arial" w:hAnsi="Arial" w:cs="Arial"/>
          <w:color w:val="000000"/>
          <w:sz w:val="20"/>
          <w:szCs w:val="20"/>
        </w:rPr>
        <w:t>Део опсега од 21.2–21.4 GHz и од 22.60–23.00 GHz користи се према Препоруци ITU-R F. 637–4 Анекс 4 за једносмерни пренос.</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Део опсега 22.00-22.60/23.00–23.60 GHz садржи радио канале са размаком предаја/пријем од 1008 MHz и каналним распоредом за ширине канала до 56 MHz утврђеним према Препорукама ITU-R F. 637–5 Анекс 2 и T/R 13–02 Анекс 1.</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Канал ширине 112 МHz добија се спајањем два суседна канала ширине 56 MHz.</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SRB68 Опсег 24.5–26.5 GHz садржи радио канале са размаком предаја/пријем од 1008 MHz и каналним распоредом утврђеним према препорукама ITU-R F. 748–4 Анекс 1 и Т/R13–02 Анекс 2.</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Користи се за дигиталне радио-релејне системе.</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SRB69 Не користи се ознака.</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SRB70 Опсег 27.5–29.5 GHz садржи радио канале са размаком предаја/пријем од 1008 MHz и каналним распоредом утврђеним према препорукама ITU-R F. 748–4, Анекс 2 и T/R 13–02 Annex 3. </w:t>
      </w:r>
      <w:proofErr w:type="gramStart"/>
      <w:r w:rsidRPr="007E52B2">
        <w:rPr>
          <w:rFonts w:ascii="Arial" w:hAnsi="Arial" w:cs="Arial"/>
          <w:color w:val="000000"/>
          <w:sz w:val="20"/>
          <w:szCs w:val="20"/>
        </w:rPr>
        <w:t>Користи се за дигиталне радио-релејне системе.</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SRB71 Опсег 27.5–29.5 GHz намењен је за фиксни бежични приступ према Препоруци ECC/REC</w:t>
      </w:r>
      <w:proofErr w:type="gramStart"/>
      <w:r w:rsidRPr="007E52B2">
        <w:rPr>
          <w:rFonts w:ascii="Arial" w:hAnsi="Arial" w:cs="Arial"/>
          <w:color w:val="000000"/>
          <w:sz w:val="20"/>
          <w:szCs w:val="20"/>
        </w:rPr>
        <w:t>/(</w:t>
      </w:r>
      <w:proofErr w:type="gramEnd"/>
      <w:r w:rsidRPr="007E52B2">
        <w:rPr>
          <w:rFonts w:ascii="Arial" w:hAnsi="Arial" w:cs="Arial"/>
          <w:color w:val="000000"/>
          <w:sz w:val="20"/>
          <w:szCs w:val="20"/>
        </w:rPr>
        <w:t xml:space="preserve">11)01. </w:t>
      </w:r>
      <w:proofErr w:type="gramStart"/>
      <w:r w:rsidRPr="007E52B2">
        <w:rPr>
          <w:rFonts w:ascii="Arial" w:hAnsi="Arial" w:cs="Arial"/>
          <w:color w:val="000000"/>
          <w:sz w:val="20"/>
          <w:szCs w:val="20"/>
        </w:rPr>
        <w:t>За фиксни бежични приступ користе се радио-канали који нису намењени радио-релејним системима у овом опсегу.</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Коришћење фреквенција у опсегу 27.5–29.5 GHz врши се на основу Споразума између Администрација Хрватске, Мађарске, Румуније и Србије (Будимпешта, октобар 2006).</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SRB72 Опсег 31.0–31.3 GHz садржи радио-каналe са каналним распоредом утврђеним према препоруци ECC/REC</w:t>
      </w:r>
      <w:proofErr w:type="gramStart"/>
      <w:r w:rsidRPr="007E52B2">
        <w:rPr>
          <w:rFonts w:ascii="Arial" w:hAnsi="Arial" w:cs="Arial"/>
          <w:color w:val="000000"/>
          <w:sz w:val="20"/>
          <w:szCs w:val="20"/>
        </w:rPr>
        <w:t>/(</w:t>
      </w:r>
      <w:proofErr w:type="gramEnd"/>
      <w:r w:rsidRPr="007E52B2">
        <w:rPr>
          <w:rFonts w:ascii="Arial" w:hAnsi="Arial" w:cs="Arial"/>
          <w:color w:val="000000"/>
          <w:sz w:val="20"/>
          <w:szCs w:val="20"/>
        </w:rPr>
        <w:t xml:space="preserve">02)02 за FDD и TDD фиксне системе. </w:t>
      </w:r>
      <w:proofErr w:type="gramStart"/>
      <w:r w:rsidRPr="007E52B2">
        <w:rPr>
          <w:rFonts w:ascii="Arial" w:hAnsi="Arial" w:cs="Arial"/>
          <w:color w:val="000000"/>
          <w:sz w:val="20"/>
          <w:szCs w:val="20"/>
        </w:rPr>
        <w:t>Користи се за дигиталне радио-релејне системе.</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SRB73 Oпсег 31.8–33.4 GHz садржи радио-канале са размаком предаја/пријем од 812 MHz и каналним распоредом утврђеним према препорукама ITU-R F. 1520–3 Анекс 1 и ERC/RЕC</w:t>
      </w:r>
      <w:proofErr w:type="gramStart"/>
      <w:r w:rsidRPr="007E52B2">
        <w:rPr>
          <w:rFonts w:ascii="Arial" w:hAnsi="Arial" w:cs="Arial"/>
          <w:color w:val="000000"/>
          <w:sz w:val="20"/>
          <w:szCs w:val="20"/>
        </w:rPr>
        <w:t>/(</w:t>
      </w:r>
      <w:proofErr w:type="gramEnd"/>
      <w:r w:rsidRPr="007E52B2">
        <w:rPr>
          <w:rFonts w:ascii="Arial" w:hAnsi="Arial" w:cs="Arial"/>
          <w:color w:val="000000"/>
          <w:sz w:val="20"/>
          <w:szCs w:val="20"/>
        </w:rPr>
        <w:t xml:space="preserve">01)02. </w:t>
      </w:r>
      <w:proofErr w:type="gramStart"/>
      <w:r w:rsidRPr="007E52B2">
        <w:rPr>
          <w:rFonts w:ascii="Arial" w:hAnsi="Arial" w:cs="Arial"/>
          <w:color w:val="000000"/>
          <w:sz w:val="20"/>
          <w:szCs w:val="20"/>
        </w:rPr>
        <w:t>Користи се за дигиталне радио-релејне системе.</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SRB74 Опсег 37.0–39.5 GHz садржи радио-канале са размаком предаја/пријем од 1260 MHz и каналним распоредом утврђеним према Препорукама ITU-R F. 749–4 Анекс 1 и T/R 12–01.</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Користи се за дигиталне радио-релејне системе.</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SRB75 Не користи се ознака.</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SRB76 Коришћење фреквенцијског опсега од стране Органа одбране – Војска на основу сагласности регулаторног тела надлежног за област електронских комуникација, без обавезе прибављања дозволе за коришћење радио-фреквенција и плаћање накнаде.</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SRB77 Не користи се ознака</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SRB78 Коришћење фреквенцијског опсега од стране Органа одбране и безбедности – Војска, МУП (уз сагласност Војске) на основу сагласности регулаторног тела надлежног за област електронских комуникација, без обавезе прибављања дозволе за коришћење радио-фреквенција и плаћање накнаде.</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SRB79 Коришћење фреквенцијског опсега од стране Органа одбране – Војска у сарадњи са пружаоцем услуга у ваздушној пловидби без обавезе прибављања дозволе за коришћење радио-фреквенција и плаћање накнаде.</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SRB80 Коришћење фреквенцијског опсега од стране Органа безбедности – МУП у сарадњи са пружаоцем услуга у ваздушној пловидби без обавезе прибављања дозволе за коришћење радио-фреквенција и плаћање накнаде.</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SRB81 Коришћење фреквенцијског опсега од стране Органа одбране и безбедности – Војска, МУП (уз сагласност Војске) у сарадњи са пружаоцем услуга у ваздушној пловидби без обавезе прибављања дозволе за коришћење радио-фреквенција и плаћање накнаде.</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lastRenderedPageBreak/>
        <w:t>SRB82 Коришћење фреквенцијског опсега од стране Органа одбране – Војска у сарадњи са пружаоцем услуга у ваздушној пловидби и регулаторним телом надлежним за област електронских комуникација без обавезе прибављања дозволе за коришћење радио-фреквенција и плаћање накнаде.</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SRB82А Коришћење фреквенцијског опсега за потребе радиолокацијске службе на секундарној основи од стране корисника Органа одбране – Војска на основу сагласности пружаоца услуга у ваздушној пловидби , Републичког хидрометеоролошког завода и регулаторног тела надлежног за област електронских комуникација, на претходно дефинисаним локацијама/фреквенцијама без обавезе прибављања дозволе за коришћење радио-фреквенција и плаћање накнаде.</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SRB83 Коришћење фреквенцијског опсега од стране пружаоца услуга у ваздушној пловидби у сарадњи са Органима одбране – Војска.</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SRB84 Коришћење фреквенцијског опсега од стране Органа безбедности – МУП у сарадњи са пружаоцем услуга у ваздушној пловидби и регулаторнcим телом надлежним за област електронских комуникација без обавезе прибављања дозволе за коришћење радио-фреквенција и плаћање накнаде.</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SRB85 Коришћење фреквенцијских опсега од стране Органа безбедности – МУП на основу сагласности регулаторног тела надлежног за област електронских комуникација, без обавезе прибављања дозволе за коришћење радио-фреквенција и плаћање накнаде.</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SRB86 Органи безбедности користе овај опсег за уређаје мале снаге на секундарној основи, без обавезе прибављања дозволе за коришћење радио-фреквенција и плаћања накнаде.</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SRB87 Коришћење фреквенцијског опсега од стране Органа одбране – Војска уз прибављање дозволе за коришћење радио-фреквенција, без плаћање накнаде на основу сагласности регулаторног тела надлежног за област електронских комуникација за системе који се користе за безбедност у речном и језерском саобраћају (DSC – oпасност и безбедност и AIS).</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SRB88 Коришћење фреквенцијског опсега 867–869 MHz у мобилној служби, од стране Органа одбране – Војска, без обавезе прибављања дозволе за коришћење радио-фреквенција и плаћање накнаде, на основу сагласности регулаторног тела надлежног за област електронских комуникација је ограничено за употребу у ненасељеним областима.</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НОТЕ ИЗ МЕЂУНАРОДНОГ ПРАВИЛНИКА О РАДИО-КОМУНИКАЦИЈАМА РЕЛЕВАНТНЕ ЗА ПЛАН НАМЕНЕ</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5.53 Aдминистрације које ауторизују коришћење опсега испод 8</w:t>
      </w:r>
      <w:proofErr w:type="gramStart"/>
      <w:r w:rsidRPr="007E52B2">
        <w:rPr>
          <w:rFonts w:ascii="Arial" w:hAnsi="Arial" w:cs="Arial"/>
          <w:color w:val="000000"/>
          <w:sz w:val="20"/>
          <w:szCs w:val="20"/>
        </w:rPr>
        <w:t>,3</w:t>
      </w:r>
      <w:proofErr w:type="gramEnd"/>
      <w:r w:rsidRPr="007E52B2">
        <w:rPr>
          <w:rFonts w:ascii="Arial" w:hAnsi="Arial" w:cs="Arial"/>
          <w:color w:val="000000"/>
          <w:sz w:val="20"/>
          <w:szCs w:val="20"/>
        </w:rPr>
        <w:t xml:space="preserve"> kHz обавезне су да обезбеде неометан рад радио-службама којима су додељени опсези изнад 8,3 kHz. (WRC-12)</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5.54 Администрацијама које за научна испитивања користе фреквенције испод 8</w:t>
      </w:r>
      <w:proofErr w:type="gramStart"/>
      <w:r w:rsidRPr="007E52B2">
        <w:rPr>
          <w:rFonts w:ascii="Arial" w:hAnsi="Arial" w:cs="Arial"/>
          <w:color w:val="000000"/>
          <w:sz w:val="20"/>
          <w:szCs w:val="20"/>
        </w:rPr>
        <w:t>,3</w:t>
      </w:r>
      <w:proofErr w:type="gramEnd"/>
      <w:r w:rsidRPr="007E52B2">
        <w:rPr>
          <w:rFonts w:ascii="Arial" w:hAnsi="Arial" w:cs="Arial"/>
          <w:color w:val="000000"/>
          <w:sz w:val="20"/>
          <w:szCs w:val="20"/>
        </w:rPr>
        <w:t xml:space="preserve"> kHz саветује се да се консултују са другим aдминистрацијама на које се ово питање односи, ради максималне заштите таквих испитивања од штетних сметњи. (WRC-12)</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5.54A Koришћење опсега 8.3–11.3 kHz од стране станица у служби метеоролошки помоћних средстава је ограничено на пасивно коришћење.</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У опсегу 8.3–11.3 kHz станице у служби метеоролошки помоћних средстава не могу тражити заштиту од станица у служби радионавигације за које је информација о нотификацији Бироу за радио-комуникације достављена пре 1.</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јануара</w:t>
      </w:r>
      <w:proofErr w:type="gramEnd"/>
      <w:r w:rsidRPr="007E52B2">
        <w:rPr>
          <w:rFonts w:ascii="Arial" w:hAnsi="Arial" w:cs="Arial"/>
          <w:color w:val="000000"/>
          <w:sz w:val="20"/>
          <w:szCs w:val="20"/>
        </w:rPr>
        <w:t xml:space="preserve"> 2013. </w:t>
      </w:r>
      <w:proofErr w:type="gramStart"/>
      <w:r w:rsidRPr="007E52B2">
        <w:rPr>
          <w:rFonts w:ascii="Arial" w:hAnsi="Arial" w:cs="Arial"/>
          <w:color w:val="000000"/>
          <w:sz w:val="20"/>
          <w:szCs w:val="20"/>
        </w:rPr>
        <w:t>године</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За заједничко коришћење од стране станица у служби метеоролошки помоћних средстава и станица у служби радионавигације које су нотификоване после наведеног датума, примењује се најновија верзија препоруке ITU-R RS.1881.</w:t>
      </w:r>
      <w:proofErr w:type="gramEnd"/>
      <w:r w:rsidRPr="007E52B2">
        <w:rPr>
          <w:rFonts w:ascii="Arial" w:hAnsi="Arial" w:cs="Arial"/>
          <w:color w:val="000000"/>
          <w:sz w:val="20"/>
          <w:szCs w:val="20"/>
        </w:rPr>
        <w:t xml:space="preserve"> (WRC-12)</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RR 5.57 Коришћење опсега: 14–19.95 kHz, 20.05–70 kHz, 72–84 kHz и 86–90 kHz од стране поморске мобилне службе је ограничено на обалне радиотелеграфске станице које употребљавају емисије А1А и F1B. </w:t>
      </w:r>
      <w:proofErr w:type="gramStart"/>
      <w:r w:rsidRPr="007E52B2">
        <w:rPr>
          <w:rFonts w:ascii="Arial" w:hAnsi="Arial" w:cs="Arial"/>
          <w:color w:val="000000"/>
          <w:sz w:val="20"/>
          <w:szCs w:val="20"/>
        </w:rPr>
        <w:t>Могућа је и употреба емисија Ј2B или Ј7B, под условом да ширина потребног опсега не прелази ширину опсега употребљену за емисије А1А или F1B.</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5.60 У опсезима 70–86 kHz и 112–130 kHz импулсни радионавигацијски системи могу се користити под условом да не изазивају штетне сметње другим службама којима су ови опсези намењени.</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5.62 Од администрација чије станице раде у радионавигацијској служби у опсегу 90–110 kHz се захтева да координирају техничке и оперативне карактеристике у циљу избегавања штетних сметњи другим станицама које раде у овој служби.</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5.64 Коришћење опсега између 90–148.5 kHz од стране фиксне службе је ограничено на употребу емисија А1А или F1B, А2C, А3C, F1C или F3C.</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Исто важи и за поморску мобилну службу у опсезима између 110–148.5 kHz који су намењени овој служби.</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Изузетно, емисије Ј2B или Ј7B могу да се користе у опсезима између 110–148.5 kHz намењеним поморској мобилној служби.</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5.67А Радио-станице у аматерској служби које користе фреквенције из опсега 135.7–137.8 kHz не смеју да имају ефективну изотропну израчену снагу (e.i.r.p.) већу од 1W и не смеју да изазивају штетне сметње станицама радионавигацијске службе у земљама које су набројане у тачки 5.67.</w:t>
      </w:r>
      <w:proofErr w:type="gramEnd"/>
      <w:r w:rsidRPr="007E52B2">
        <w:rPr>
          <w:rFonts w:ascii="Arial" w:hAnsi="Arial" w:cs="Arial"/>
          <w:color w:val="000000"/>
          <w:sz w:val="20"/>
          <w:szCs w:val="20"/>
        </w:rPr>
        <w:t xml:space="preserve"> (WRC-07)</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5.73 У поморској радионавигацијској служби у опсегу 283.5–325 kHz могу се такође емитовати допунске навигационе информације употребом ускопојасне технике, под условом да се не изазивају штетне сметње радио-фар станицама које раде у радионавигацијској служби (WRC-97).</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5.74 Додатна намена: У Региону 1, фреквенцијски опсег 285.3–285.7 kHz је такође намењен поморској радионавигацијској служби (различитој од радио-фарова) на примарној основи.</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5.76 Фреквенција 410 kHz је одређена за радио-гониометрију у поморској радионавигацијској служби.</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Остале радионавигацијске службе којима је намењен опсег 405–415 kHz не смеју да изазивају штетне сметње радио-гониометрији у опсегу 406.5–413.5 kHz.</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lastRenderedPageBreak/>
        <w:t>RR 5.79 Коришћење опсега: 415–495 kHz и 505–526.5 kHz од стране поморске мобилне службе је ограничено на радио-телеграфију.</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5.79A Администрацијама се нарочито препоручује да приликом успостављања обалне станице у NAVTEX служби на фреквенцијама 490 kHz, 518 kHz и 4209,5 kHz координирају радне карактеристике у складу са процедурама Међународне поморске организације (IMO) (видети Резолуцију 339 (Rev WRC-07)).</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5.80A Максимална еквивалентна изотропно израчена снага (e.i.r.p.) станица у аматерској служби које користе фреквенције из опсега 472–479 kHz неће прећи 1 W. Администрације могу повећати овај лимит e.i.r.p. на 5 W на деловима своје територије који су на растојању већем од 800 km од границе Алжира, Саудијске Арабије, Азербејџана, Бахреина, Белорусије, Кине, Комора, Џибутија, Египта, Уједињених Арапских Емирата, Руске Федерације, Исламске Републике Ирана, Ирака, Јордана, Казахстана, Кувајта, Либана, Либије, Марока, Мауританије, Омана, Узбекистана, Катара, Сиријске Арапске Републике, Киргистана, Сомалије, Судана, Туниса, Украјине и Јемена. У овом фреквенцијском опсегу, станице у аматерској служби неће узроковати штетну сметњу према станицама ваздухопловне радио-навигационе службе, нити ће захтевати заштиту од истих. (WRC-12)</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RR 5.80B Коришћење фреквенцијског опсега 472–479 kHz у Алжиру, Саудијској Арабији, Азербејџану, Бахреину, Кини, Коморима, Џибутију, Египту, Уједињеним Арапским Емиратима, Руској Федерацији, Ираку, Јордану, Казахстану, Кувајту, Либану, Либији, Мауританији, Оману, Узбекистану, Катару, Сиријској Арапској Републици, Киргистану, Сомалији, Судану, Тунису и Јемену је ограничено на поморску мобилну службу и ваздухопловну радио-навигациону службу. </w:t>
      </w:r>
      <w:proofErr w:type="gramStart"/>
      <w:r w:rsidRPr="007E52B2">
        <w:rPr>
          <w:rFonts w:ascii="Arial" w:hAnsi="Arial" w:cs="Arial"/>
          <w:color w:val="000000"/>
          <w:sz w:val="20"/>
          <w:szCs w:val="20"/>
        </w:rPr>
        <w:t>Аматерска служба се неће користити у горе поменутим земљама у овом фреквенцијском опсегу и земље које дозвољавају такво коришћење би требало ово да узму у обзир.</w:t>
      </w:r>
      <w:proofErr w:type="gramEnd"/>
      <w:r w:rsidRPr="007E52B2">
        <w:rPr>
          <w:rFonts w:ascii="Arial" w:hAnsi="Arial" w:cs="Arial"/>
          <w:color w:val="000000"/>
          <w:sz w:val="20"/>
          <w:szCs w:val="20"/>
        </w:rPr>
        <w:t xml:space="preserve"> (WRC-12)</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5.82 У поморској мобилној служби фреквенција 490 kHz користи се искључиво за пренос сигнала обалних станица за навигациона и метеоролошка упозорења и хитне информације бродовима, ускопојасном машинском телеграфијoм.</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Услови за коришћење фреквенције 490 kHz су дати у члановима 31.</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и</w:t>
      </w:r>
      <w:proofErr w:type="gramEnd"/>
      <w:r w:rsidRPr="007E52B2">
        <w:rPr>
          <w:rFonts w:ascii="Arial" w:hAnsi="Arial" w:cs="Arial"/>
          <w:color w:val="000000"/>
          <w:sz w:val="20"/>
          <w:szCs w:val="20"/>
        </w:rPr>
        <w:t xml:space="preserve"> 52. </w:t>
      </w:r>
      <w:proofErr w:type="gramStart"/>
      <w:r w:rsidRPr="007E52B2">
        <w:rPr>
          <w:rFonts w:ascii="Arial" w:hAnsi="Arial" w:cs="Arial"/>
          <w:color w:val="000000"/>
          <w:sz w:val="20"/>
          <w:szCs w:val="20"/>
        </w:rPr>
        <w:t>Правилника. При коришћењу опсега 415–495 kHz за ваздухопловну радионавигацијску службу, од администрација се захтева да обезбеде неометан рад на фреквенцији 490 kHz.</w:t>
      </w:r>
      <w:proofErr w:type="gramEnd"/>
      <w:r w:rsidRPr="007E52B2">
        <w:rPr>
          <w:rFonts w:ascii="Arial" w:hAnsi="Arial" w:cs="Arial"/>
          <w:color w:val="000000"/>
          <w:sz w:val="20"/>
          <w:szCs w:val="20"/>
        </w:rPr>
        <w:t xml:space="preserve"> (WRC-12)</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5.84 Услови за коришћење фреквенције 518 kHz у поморској мобилној служби су прописани члановима 31.</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и</w:t>
      </w:r>
      <w:proofErr w:type="gramEnd"/>
      <w:r w:rsidRPr="007E52B2">
        <w:rPr>
          <w:rFonts w:ascii="Arial" w:hAnsi="Arial" w:cs="Arial"/>
          <w:color w:val="000000"/>
          <w:sz w:val="20"/>
          <w:szCs w:val="20"/>
        </w:rPr>
        <w:t xml:space="preserve"> 52. Правилника. (WRC-07)</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RR 5.92 Неке земље Региона 1 користе радиодетерминацијске системе у опсезима: 1606,5–1625 kHz, 1635–1800 kHz, 1850–2160 kHz, 2194–2300 kHz, 2502–2850 kHz и 3500–3800 kHz који подлежу закључивању споразума у складу са одредбом тачке 9.21. </w:t>
      </w:r>
      <w:proofErr w:type="gramStart"/>
      <w:r w:rsidRPr="007E52B2">
        <w:rPr>
          <w:rFonts w:ascii="Arial" w:hAnsi="Arial" w:cs="Arial"/>
          <w:color w:val="000000"/>
          <w:sz w:val="20"/>
          <w:szCs w:val="20"/>
        </w:rPr>
        <w:t>Средња израчена снага ових станица не треба да буде већа од 50 W.</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5.100 Одобрење за коришћење опсега 1810–1830 kHz за аматерску службу у земљама чије се територије делом или у потпуности налазе северно од 40° северне географске ширине издаје се тек после консултација са земљама које су наведене у одредбaма тачака 5.98 и 5.99 Правилника да би се спречиле штетне сметње између аматерских станица и станица других служби које раде сагласно одредбама тачака 5.98 и 5.99 Правилника.</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5.103 При додели фреквенција станицама у фиксној и мобилној служби у опсезима 1850–2045 kHz, 2194–2498 kHz, 2502–2625 kHz и 2650–2850 kHz треба водити рачуна о посебним захтевима поморске мобилне службе.</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5.104 Служба помоћних метеоролошких средстава у опсегу 2025–2045 kHz се користи само на поморским станицама на плутачама.</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5.108 Носећа фреквенција 2182 kHz је међународна фреквенција за случај опасности и за позивање за радио-телефонију.</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Услови употребе опсега 2173.5–2190.5 kHz су прописани члановима 31.</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и</w:t>
      </w:r>
      <w:proofErr w:type="gramEnd"/>
      <w:r w:rsidRPr="007E52B2">
        <w:rPr>
          <w:rFonts w:ascii="Arial" w:hAnsi="Arial" w:cs="Arial"/>
          <w:color w:val="000000"/>
          <w:sz w:val="20"/>
          <w:szCs w:val="20"/>
        </w:rPr>
        <w:t xml:space="preserve"> 52. Правилника. (WRC-07)</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RR 5.109 Фреквенције 2187.5 kHz, 4207.5 kHz, 6312 kHz, 8414.5 kHz, 12577 kHz и 16804.5 kHz су међународне фреквенције за случај опасности за дигитално селективно позивање. </w:t>
      </w:r>
      <w:proofErr w:type="gramStart"/>
      <w:r w:rsidRPr="007E52B2">
        <w:rPr>
          <w:rFonts w:ascii="Arial" w:hAnsi="Arial" w:cs="Arial"/>
          <w:color w:val="000000"/>
          <w:sz w:val="20"/>
          <w:szCs w:val="20"/>
        </w:rPr>
        <w:t>Услови употребе ових фреквенција су прописани чланом 31.</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Правилника.</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RR 5.110 Фреквенције 2174.5 kHz, 4177.5 kHz, 6268 kHz, 8376.5 kHz, 12520 kHz и 16695 kHz су међународне фреквенције за случај опасности за ускопојасну машинску телеграфију. </w:t>
      </w:r>
      <w:proofErr w:type="gramStart"/>
      <w:r w:rsidRPr="007E52B2">
        <w:rPr>
          <w:rFonts w:ascii="Arial" w:hAnsi="Arial" w:cs="Arial"/>
          <w:color w:val="000000"/>
          <w:sz w:val="20"/>
          <w:szCs w:val="20"/>
        </w:rPr>
        <w:t>Услови употребе ових фреквенција су прописани члaном 31.</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Правилника.</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RR 5.111 Носеће фреквенције 2182 kHz, 3023 kHz, 5680 kHz, 8364 kHz и фреквенције 121.5 МHz, 156.525 MHz, 156.8 МHz и 243 МHz могу се такође употребити, сагласно процедурама који су на снази за терестричке радио-комуникацијске службе, за операције тражења и спашавања помоћу свемирских летелица са посадом. </w:t>
      </w:r>
      <w:proofErr w:type="gramStart"/>
      <w:r w:rsidRPr="007E52B2">
        <w:rPr>
          <w:rFonts w:ascii="Arial" w:hAnsi="Arial" w:cs="Arial"/>
          <w:color w:val="000000"/>
          <w:sz w:val="20"/>
          <w:szCs w:val="20"/>
        </w:rPr>
        <w:t>Услови употребе ових фреквенција су прописани чланом 31.</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Правилника.</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Исто се примењује на фреквенције 10003 kHz, 14993 kHz и 19993 kHz али на свакој од ових фреквенција емисије морају да буду ограничене у опсегу од ±3 kHz у односу на фреквенцију носиоца. (WRC-07)</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5.113 Услови за коришћење опсега 2300–2495 kHz (2498 kHz за Регион 1), 3200–3400 kHz, 4750–4995 kHz и 5005–5060 kHz, од стране радиодифузне службе дати су у тачкама 5.16 до 5.20, 5.21 и 23.3 до 23.10 Правилника.</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5.115 Носеће (референтне) фреквенције 3023 kHz и 5680 kHz могу се, такође, користити од стране станица у поморској мобилној служби које су ангажоване у координираним операцијама трагања и спашавања сагласно са чланом 31. Правилника. (WRC-07)</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5.116 Од администрација се захтева да одобре употребу опсега 3155–3195 kHz за канал који је на глобалном нивоу намењен уређајима мале снаге за особе са оштећеним слухом.</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Додатни канали у ове сврхе могу бити додељени и из опсега између 3155 kHz и 3400 kHz, за потребе локалног радa.</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Напомиње се да су фреквенције у опсегу од 3000 до 4000 kHz погодне за уређаје за особе са оштећеним слухом који раде на кратким растојањима унутар индукционог поља.</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lastRenderedPageBreak/>
        <w:t>RR 5.127 У поморској мобилној служби употреба опсега 4000–4063 kHz је ограничена на бродске станице које користе радио-телефонију (видети тачку 52.220 и Додатак 17 Правилника).</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5.130 Услови коришћења носећих фреквенција 4125 kHz и 6215 kHz су прописани члановима 31.</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и</w:t>
      </w:r>
      <w:proofErr w:type="gramEnd"/>
      <w:r w:rsidRPr="007E52B2">
        <w:rPr>
          <w:rFonts w:ascii="Arial" w:hAnsi="Arial" w:cs="Arial"/>
          <w:color w:val="000000"/>
          <w:sz w:val="20"/>
          <w:szCs w:val="20"/>
        </w:rPr>
        <w:t xml:space="preserve"> 52. Правилника. (WRC-07)</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5.131 Фреквенција 4209.5 kHz се употребљава искључиво за емитовање метеоролошких и навигационих упозорења и хитних информација бродовима од стране обалних радио станица, помоћу ускопојасне машинске телеграфије.</w:t>
      </w:r>
      <w:proofErr w:type="gramEnd"/>
      <w:r w:rsidRPr="007E52B2">
        <w:rPr>
          <w:rFonts w:ascii="Arial" w:hAnsi="Arial" w:cs="Arial"/>
          <w:color w:val="000000"/>
          <w:sz w:val="20"/>
          <w:szCs w:val="20"/>
        </w:rPr>
        <w:t xml:space="preserve"> (WRC-97)</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5.132 Фреквенције 4210 kHz, 6314 kHz, 8416.5 kHz, 12579 kHz, 16806.5 kHz, 22376 kHz и 26100.5 kHz су међународне фреквенције за емитовање поморских безбедносних информација (MSI) (видети Додатак 17 Правилника).</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5.132A Станице у радиолокацијској служби не смеју да изазивају штетне сметње станицама које раде у фиксној или мобилној служби, нити да захтева заштиту од истих.</w:t>
      </w:r>
      <w:proofErr w:type="gramEnd"/>
      <w:r w:rsidRPr="007E52B2">
        <w:rPr>
          <w:rFonts w:ascii="Arial" w:hAnsi="Arial" w:cs="Arial"/>
          <w:color w:val="000000"/>
          <w:sz w:val="20"/>
          <w:szCs w:val="20"/>
        </w:rPr>
        <w:t xml:space="preserve"> Примена у оквиру радиолокацијске службе је ограничена на океанографске радаре који раде у складу са Резолуцијом 612 (Rev.WRC-12) (WRC-12)</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5.133В Станице у аматерској служби које користе опсег 5351.5–5366.5 kHz могу да раде са максималном вредношћу снаге од 15 W (E.I.R.P).</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Међутим, у Региону 2 у Мексику, станице у аматерској служби које користе опсег 5351.5–5366.5 kHz могу да раде са максималном вредношћу снаге од 20 W (E.I.R.P).</w:t>
      </w:r>
      <w:proofErr w:type="gramEnd"/>
      <w:r w:rsidRPr="007E52B2">
        <w:rPr>
          <w:rFonts w:ascii="Arial" w:hAnsi="Arial" w:cs="Arial"/>
          <w:color w:val="000000"/>
          <w:sz w:val="20"/>
          <w:szCs w:val="20"/>
        </w:rPr>
        <w:t xml:space="preserve"> У следећим земљама региона 2: Антигва и Барбуда, Аргентина, Бахами, Барбадос, Белизе, Боливија, Бразил, Чиле, Колумбија, Костарика, Куба, Доминиканска Република, Доминика, Ел Салвадор, Еквадор, Гренада, Гватемала, Гвајана, Хондурас, Јамајка, Никарагва, Панама, Парагвај, Перу, Света Луција, Свети Китс и Невис, Свети Винсент и Гренадине, Суринам, Тринидад и Тобаго, Уругвај, Венецуела, као и прекоморске територије Холандије у Региону 2, у аматерској служби која користи фреквенцијски опсег 5351,5–5366,5 kHz не сме прелазити максималну вредност снаге од 25 W (E.I.R.P). (WRC-19)</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RR 5.134 Приликом коришћења опсега 5900–5950 kHz, 7300–7350 kHz, 9400–9500 kHz, 11600–11650 kHz, 12050–12100 kHz, 13570–13600 kHz, 13800–13870 kHz, 15600–15800 kHz, 17480–17550 kHz и 18900–19020 kHz за радиодифузну службу, примењује се процедура из члана 12. </w:t>
      </w:r>
      <w:proofErr w:type="gramStart"/>
      <w:r w:rsidRPr="007E52B2">
        <w:rPr>
          <w:rFonts w:ascii="Arial" w:hAnsi="Arial" w:cs="Arial"/>
          <w:color w:val="000000"/>
          <w:sz w:val="20"/>
          <w:szCs w:val="20"/>
        </w:rPr>
        <w:t>Правилника. Администрацијама се препоручује да користе ове опсеге за увођење дигитално модулисаних емисија сагласно са одлукама Резолуције 517 (Rev. WRC-07).</w:t>
      </w:r>
      <w:proofErr w:type="gramEnd"/>
      <w:r w:rsidRPr="007E52B2">
        <w:rPr>
          <w:rFonts w:ascii="Arial" w:hAnsi="Arial" w:cs="Arial"/>
          <w:color w:val="000000"/>
          <w:sz w:val="20"/>
          <w:szCs w:val="20"/>
        </w:rPr>
        <w:t xml:space="preserve"> (WRC-07)</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5.138 Следећи опсези:</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5102"/>
        <w:gridCol w:w="9748"/>
      </w:tblGrid>
      <w:tr w:rsidR="00D23D60" w:rsidRPr="007E52B2" w:rsidTr="00F943AF">
        <w:tc>
          <w:tcPr>
            <w:tcW w:w="1718"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6765-6795 kHz</w:t>
            </w:r>
          </w:p>
        </w:tc>
        <w:tc>
          <w:tcPr>
            <w:tcW w:w="328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(централна фреквенција 6780 kHz)</w:t>
            </w:r>
          </w:p>
        </w:tc>
      </w:tr>
      <w:tr w:rsidR="00D23D60" w:rsidRPr="007E52B2" w:rsidTr="00F943AF">
        <w:tc>
          <w:tcPr>
            <w:tcW w:w="1718"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433.05–434.79 MHz</w:t>
            </w:r>
          </w:p>
        </w:tc>
        <w:tc>
          <w:tcPr>
            <w:tcW w:w="328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(централна фреквенција 433,92 MHz)</w:t>
            </w:r>
          </w:p>
        </w:tc>
      </w:tr>
      <w:tr w:rsidR="00D23D60" w:rsidRPr="007E52B2" w:rsidTr="00F943AF">
        <w:tc>
          <w:tcPr>
            <w:tcW w:w="1718"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61–61.5 GHz</w:t>
            </w:r>
          </w:p>
        </w:tc>
        <w:tc>
          <w:tcPr>
            <w:tcW w:w="328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(централна фреквенција 61,25 GHz)</w:t>
            </w:r>
          </w:p>
        </w:tc>
      </w:tr>
      <w:tr w:rsidR="00D23D60" w:rsidRPr="007E52B2" w:rsidTr="00F943AF">
        <w:tc>
          <w:tcPr>
            <w:tcW w:w="1718"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122–123 GHz</w:t>
            </w:r>
          </w:p>
        </w:tc>
        <w:tc>
          <w:tcPr>
            <w:tcW w:w="328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(централна фреквенција 122,5 GHz)</w:t>
            </w:r>
          </w:p>
        </w:tc>
      </w:tr>
      <w:tr w:rsidR="00D23D60" w:rsidRPr="007E52B2" w:rsidTr="00F943AF">
        <w:tc>
          <w:tcPr>
            <w:tcW w:w="1718"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244–246 GHz</w:t>
            </w:r>
          </w:p>
        </w:tc>
        <w:tc>
          <w:tcPr>
            <w:tcW w:w="328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(централна фреквенција 245 GHz)</w:t>
            </w:r>
          </w:p>
        </w:tc>
      </w:tr>
    </w:tbl>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предвиђени</w:t>
      </w:r>
      <w:proofErr w:type="gramEnd"/>
      <w:r w:rsidRPr="007E52B2">
        <w:rPr>
          <w:rFonts w:ascii="Arial" w:hAnsi="Arial" w:cs="Arial"/>
          <w:color w:val="000000"/>
          <w:sz w:val="20"/>
          <w:szCs w:val="20"/>
        </w:rPr>
        <w:t xml:space="preserve"> су за примену у индустрији, науци и медицини (ISM).</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Коришћење фреквенцијских опсега за ISM подлеже одобрењу које издаје надлежна администрација, уз сагласност других администрација чије радио-комуникацијске службе могу бити изложене штетним сметњама.</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При примени ове одредбе, администрације треба да се придржавају најновијих препорука ITU-R.</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RR 5.145 Услови коришћења носећих фреквенција 8291 kHz, 12290 kHz и 16420 kHz су прописани у члановима 31. </w:t>
      </w:r>
      <w:proofErr w:type="gramStart"/>
      <w:r w:rsidRPr="007E52B2">
        <w:rPr>
          <w:rFonts w:ascii="Arial" w:hAnsi="Arial" w:cs="Arial"/>
          <w:color w:val="000000"/>
          <w:sz w:val="20"/>
          <w:szCs w:val="20"/>
        </w:rPr>
        <w:t>и</w:t>
      </w:r>
      <w:proofErr w:type="gramEnd"/>
      <w:r w:rsidRPr="007E52B2">
        <w:rPr>
          <w:rFonts w:ascii="Arial" w:hAnsi="Arial" w:cs="Arial"/>
          <w:color w:val="000000"/>
          <w:sz w:val="20"/>
          <w:szCs w:val="20"/>
        </w:rPr>
        <w:t xml:space="preserve"> 52. Правилника. (WRC-07)</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5.146 Додатна намена : фреквенције из опсега 9400–9500 kHz, 11600–11650 kHz, 12050–12100 kHz, 15600–15800 kHz, 17480–17550 kHz и 18900–19020 kHz могу бити коришћене од стране станица у фиксној служби, и то само при комуникацији унутар граница територије државе у којој су лоциране, и под условом да не изазивају штетне сметње радиодифузној служби. Приликом коришћења фреквенција у фиксној служби, од администрација се захтева да користе минимум потребне снаге и да узму у обзир сезонско коришћење фреквенција за радиодифузну службу, објављено у складу са Правилником. (WRC-07)</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5.149 Приликом доделе фреквенције станицама других служби у опсезима:</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5114"/>
        <w:gridCol w:w="4654"/>
        <w:gridCol w:w="5082"/>
      </w:tblGrid>
      <w:tr w:rsidR="00D23D60" w:rsidRPr="007E52B2" w:rsidTr="00F943AF">
        <w:tc>
          <w:tcPr>
            <w:tcW w:w="172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13360–13410 kHz</w:t>
            </w:r>
          </w:p>
        </w:tc>
        <w:tc>
          <w:tcPr>
            <w:tcW w:w="1567"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4990–5000 MHz</w:t>
            </w:r>
          </w:p>
        </w:tc>
        <w:tc>
          <w:tcPr>
            <w:tcW w:w="171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94.1–100 GHz</w:t>
            </w:r>
          </w:p>
        </w:tc>
      </w:tr>
      <w:tr w:rsidR="00D23D60" w:rsidRPr="007E52B2" w:rsidTr="00F943AF">
        <w:tc>
          <w:tcPr>
            <w:tcW w:w="172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25550–25670 kHz</w:t>
            </w:r>
          </w:p>
        </w:tc>
        <w:tc>
          <w:tcPr>
            <w:tcW w:w="1567"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6650–6675.2 MHz</w:t>
            </w:r>
          </w:p>
        </w:tc>
        <w:tc>
          <w:tcPr>
            <w:tcW w:w="171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102.00–109.5 GHz</w:t>
            </w:r>
          </w:p>
        </w:tc>
      </w:tr>
      <w:tr w:rsidR="00D23D60" w:rsidRPr="007E52B2" w:rsidTr="00F943AF">
        <w:tc>
          <w:tcPr>
            <w:tcW w:w="172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37.5–38.25 MHz</w:t>
            </w:r>
          </w:p>
        </w:tc>
        <w:tc>
          <w:tcPr>
            <w:tcW w:w="1567"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10.6–10.68 GHz</w:t>
            </w:r>
          </w:p>
        </w:tc>
        <w:tc>
          <w:tcPr>
            <w:tcW w:w="171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111.8–114.25 GHz</w:t>
            </w:r>
          </w:p>
        </w:tc>
      </w:tr>
      <w:tr w:rsidR="00D23D60" w:rsidRPr="007E52B2" w:rsidTr="00F943AF">
        <w:tc>
          <w:tcPr>
            <w:tcW w:w="172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73–74.6 MHz</w:t>
            </w:r>
          </w:p>
        </w:tc>
        <w:tc>
          <w:tcPr>
            <w:tcW w:w="1567"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14.47–14.5 GHz</w:t>
            </w:r>
          </w:p>
        </w:tc>
        <w:tc>
          <w:tcPr>
            <w:tcW w:w="171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128.33–128.59 GHz</w:t>
            </w:r>
          </w:p>
        </w:tc>
      </w:tr>
      <w:tr w:rsidR="00D23D60" w:rsidRPr="007E52B2" w:rsidTr="00F943AF">
        <w:tc>
          <w:tcPr>
            <w:tcW w:w="172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150.05–153 MHz</w:t>
            </w:r>
          </w:p>
        </w:tc>
        <w:tc>
          <w:tcPr>
            <w:tcW w:w="1567"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22.01–22.21 GHz</w:t>
            </w:r>
          </w:p>
        </w:tc>
        <w:tc>
          <w:tcPr>
            <w:tcW w:w="171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129.23–129.49 GHz</w:t>
            </w:r>
          </w:p>
        </w:tc>
      </w:tr>
      <w:tr w:rsidR="00D23D60" w:rsidRPr="007E52B2" w:rsidTr="00F943AF">
        <w:tc>
          <w:tcPr>
            <w:tcW w:w="172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322–328.6 MHz</w:t>
            </w:r>
          </w:p>
        </w:tc>
        <w:tc>
          <w:tcPr>
            <w:tcW w:w="1567"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22.21–22.5 GHz</w:t>
            </w:r>
          </w:p>
        </w:tc>
        <w:tc>
          <w:tcPr>
            <w:tcW w:w="171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130–134 GHz</w:t>
            </w:r>
          </w:p>
        </w:tc>
      </w:tr>
      <w:tr w:rsidR="00D23D60" w:rsidRPr="007E52B2" w:rsidTr="00F943AF">
        <w:tc>
          <w:tcPr>
            <w:tcW w:w="172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406.1–410 MHz</w:t>
            </w:r>
          </w:p>
        </w:tc>
        <w:tc>
          <w:tcPr>
            <w:tcW w:w="1567"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22.81–22.86 GHz</w:t>
            </w:r>
          </w:p>
        </w:tc>
        <w:tc>
          <w:tcPr>
            <w:tcW w:w="171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136–148.5 GHz</w:t>
            </w:r>
          </w:p>
        </w:tc>
      </w:tr>
      <w:tr w:rsidR="00D23D60" w:rsidRPr="007E52B2" w:rsidTr="00F943AF">
        <w:tc>
          <w:tcPr>
            <w:tcW w:w="172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608–614 MHz</w:t>
            </w:r>
          </w:p>
        </w:tc>
        <w:tc>
          <w:tcPr>
            <w:tcW w:w="1567"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23.07–23.12 GHz</w:t>
            </w:r>
          </w:p>
        </w:tc>
        <w:tc>
          <w:tcPr>
            <w:tcW w:w="171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151.5–158.5 GHz</w:t>
            </w:r>
          </w:p>
        </w:tc>
      </w:tr>
      <w:tr w:rsidR="00D23D60" w:rsidRPr="007E52B2" w:rsidTr="00F943AF">
        <w:tc>
          <w:tcPr>
            <w:tcW w:w="172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lastRenderedPageBreak/>
              <w:t>1330–1400 MHz</w:t>
            </w:r>
          </w:p>
        </w:tc>
        <w:tc>
          <w:tcPr>
            <w:tcW w:w="1567"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31.2–31.3 GHz</w:t>
            </w:r>
          </w:p>
        </w:tc>
        <w:tc>
          <w:tcPr>
            <w:tcW w:w="171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168.59–168.93 GHz</w:t>
            </w:r>
          </w:p>
        </w:tc>
      </w:tr>
      <w:tr w:rsidR="00D23D60" w:rsidRPr="007E52B2" w:rsidTr="00F943AF">
        <w:tc>
          <w:tcPr>
            <w:tcW w:w="172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1610.6–1613.8 MHz</w:t>
            </w:r>
          </w:p>
        </w:tc>
        <w:tc>
          <w:tcPr>
            <w:tcW w:w="1567"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31.5–31.8 GHz</w:t>
            </w:r>
          </w:p>
        </w:tc>
        <w:tc>
          <w:tcPr>
            <w:tcW w:w="171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171.11–171.45 GHz</w:t>
            </w:r>
          </w:p>
        </w:tc>
      </w:tr>
      <w:tr w:rsidR="00D23D60" w:rsidRPr="007E52B2" w:rsidTr="00F943AF">
        <w:tc>
          <w:tcPr>
            <w:tcW w:w="172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1660–1670 MHz</w:t>
            </w:r>
          </w:p>
        </w:tc>
        <w:tc>
          <w:tcPr>
            <w:tcW w:w="1567"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36.43–36.5 GHz</w:t>
            </w:r>
          </w:p>
        </w:tc>
        <w:tc>
          <w:tcPr>
            <w:tcW w:w="171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172.31–172.65 GHz</w:t>
            </w:r>
          </w:p>
        </w:tc>
      </w:tr>
      <w:tr w:rsidR="00D23D60" w:rsidRPr="007E52B2" w:rsidTr="00F943AF">
        <w:tc>
          <w:tcPr>
            <w:tcW w:w="172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1718.8–1722.2 MHz</w:t>
            </w:r>
          </w:p>
        </w:tc>
        <w:tc>
          <w:tcPr>
            <w:tcW w:w="1567"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42.5–43.5 GHz</w:t>
            </w:r>
          </w:p>
        </w:tc>
        <w:tc>
          <w:tcPr>
            <w:tcW w:w="171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173.52–173.85 GHz</w:t>
            </w:r>
          </w:p>
        </w:tc>
      </w:tr>
      <w:tr w:rsidR="00D23D60" w:rsidRPr="007E52B2" w:rsidTr="00F943AF">
        <w:tc>
          <w:tcPr>
            <w:tcW w:w="172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2655–2690 MHz</w:t>
            </w:r>
          </w:p>
        </w:tc>
        <w:tc>
          <w:tcPr>
            <w:tcW w:w="1567"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42.77–42.87 GHz</w:t>
            </w:r>
          </w:p>
        </w:tc>
        <w:tc>
          <w:tcPr>
            <w:tcW w:w="171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195.75–196.15 GHz</w:t>
            </w:r>
          </w:p>
        </w:tc>
      </w:tr>
      <w:tr w:rsidR="00D23D60" w:rsidRPr="007E52B2" w:rsidTr="00F943AF">
        <w:tc>
          <w:tcPr>
            <w:tcW w:w="172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3260–3267 MHz</w:t>
            </w:r>
          </w:p>
        </w:tc>
        <w:tc>
          <w:tcPr>
            <w:tcW w:w="1567"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43.07–43.17 GHz</w:t>
            </w:r>
          </w:p>
        </w:tc>
        <w:tc>
          <w:tcPr>
            <w:tcW w:w="171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209–226 GHz</w:t>
            </w:r>
          </w:p>
        </w:tc>
      </w:tr>
      <w:tr w:rsidR="00D23D60" w:rsidRPr="007E52B2" w:rsidTr="00F943AF">
        <w:tc>
          <w:tcPr>
            <w:tcW w:w="172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3332–3339 MHz</w:t>
            </w:r>
          </w:p>
        </w:tc>
        <w:tc>
          <w:tcPr>
            <w:tcW w:w="1567"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43.37–43.47 GHz</w:t>
            </w:r>
          </w:p>
        </w:tc>
        <w:tc>
          <w:tcPr>
            <w:tcW w:w="171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241–250 GHz</w:t>
            </w:r>
          </w:p>
        </w:tc>
      </w:tr>
      <w:tr w:rsidR="00D23D60" w:rsidRPr="007E52B2" w:rsidTr="00F943AF">
        <w:tc>
          <w:tcPr>
            <w:tcW w:w="172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3345.8–3352.5 MHz</w:t>
            </w:r>
          </w:p>
        </w:tc>
        <w:tc>
          <w:tcPr>
            <w:tcW w:w="1567"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48.94–49.04 GHz</w:t>
            </w:r>
          </w:p>
        </w:tc>
        <w:tc>
          <w:tcPr>
            <w:tcW w:w="171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252–275 GHz</w:t>
            </w:r>
          </w:p>
        </w:tc>
      </w:tr>
      <w:tr w:rsidR="00D23D60" w:rsidRPr="007E52B2" w:rsidTr="00F943AF">
        <w:tc>
          <w:tcPr>
            <w:tcW w:w="172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4825–4835 MHz</w:t>
            </w:r>
          </w:p>
        </w:tc>
        <w:tc>
          <w:tcPr>
            <w:tcW w:w="1567"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76–86 GHz</w:t>
            </w:r>
          </w:p>
        </w:tc>
        <w:tc>
          <w:tcPr>
            <w:tcW w:w="171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p>
        </w:tc>
      </w:tr>
      <w:tr w:rsidR="00D23D60" w:rsidRPr="007E52B2" w:rsidTr="00F943AF">
        <w:tc>
          <w:tcPr>
            <w:tcW w:w="172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4950–4990 MHz</w:t>
            </w:r>
          </w:p>
        </w:tc>
        <w:tc>
          <w:tcPr>
            <w:tcW w:w="1567"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92–94 GHz</w:t>
            </w:r>
          </w:p>
        </w:tc>
        <w:tc>
          <w:tcPr>
            <w:tcW w:w="171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p>
        </w:tc>
      </w:tr>
    </w:tbl>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који</w:t>
      </w:r>
      <w:proofErr w:type="gramEnd"/>
      <w:r w:rsidRPr="007E52B2">
        <w:rPr>
          <w:rFonts w:ascii="Arial" w:hAnsi="Arial" w:cs="Arial"/>
          <w:color w:val="000000"/>
          <w:sz w:val="20"/>
          <w:szCs w:val="20"/>
        </w:rPr>
        <w:t xml:space="preserve"> су им намењени, од администрација се захтева да предузму све потребне кораке ради заштите радио-астрономске службе од штетних сметњи. </w:t>
      </w:r>
      <w:proofErr w:type="gramStart"/>
      <w:r w:rsidRPr="007E52B2">
        <w:rPr>
          <w:rFonts w:ascii="Arial" w:hAnsi="Arial" w:cs="Arial"/>
          <w:color w:val="000000"/>
          <w:sz w:val="20"/>
          <w:szCs w:val="20"/>
        </w:rPr>
        <w:t>Емисије од станица у свемиру и станица на летелицама могу бити врло озбиљан извор сметњи радио-астрономској служби (тачке 4.5 и 4.6 и члан 29.</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Правилника).</w:t>
      </w:r>
      <w:proofErr w:type="gramEnd"/>
      <w:r w:rsidRPr="007E52B2">
        <w:rPr>
          <w:rFonts w:ascii="Arial" w:hAnsi="Arial" w:cs="Arial"/>
          <w:color w:val="000000"/>
          <w:sz w:val="20"/>
          <w:szCs w:val="20"/>
        </w:rPr>
        <w:t xml:space="preserve"> (WRC-2000)</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5.150 Следећи опсези:</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4906"/>
        <w:gridCol w:w="9944"/>
      </w:tblGrid>
      <w:tr w:rsidR="00D23D60" w:rsidRPr="007E52B2" w:rsidTr="00F943AF">
        <w:tc>
          <w:tcPr>
            <w:tcW w:w="165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13553–13567 kHz</w:t>
            </w:r>
          </w:p>
        </w:tc>
        <w:tc>
          <w:tcPr>
            <w:tcW w:w="3348"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централна фреквенција 13560 kHz</w:t>
            </w:r>
          </w:p>
        </w:tc>
      </w:tr>
      <w:tr w:rsidR="00D23D60" w:rsidRPr="007E52B2" w:rsidTr="00F943AF">
        <w:tc>
          <w:tcPr>
            <w:tcW w:w="165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26957–27283 kHz</w:t>
            </w:r>
          </w:p>
        </w:tc>
        <w:tc>
          <w:tcPr>
            <w:tcW w:w="3348"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централна фреквенција 27120 kHz</w:t>
            </w:r>
          </w:p>
        </w:tc>
      </w:tr>
      <w:tr w:rsidR="00D23D60" w:rsidRPr="007E52B2" w:rsidTr="00F943AF">
        <w:tc>
          <w:tcPr>
            <w:tcW w:w="165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40.66–40.70 MHz</w:t>
            </w:r>
          </w:p>
        </w:tc>
        <w:tc>
          <w:tcPr>
            <w:tcW w:w="3348"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централна фреквенција 40.68 MHz</w:t>
            </w:r>
          </w:p>
        </w:tc>
      </w:tr>
      <w:tr w:rsidR="00D23D60" w:rsidRPr="007E52B2" w:rsidTr="00F943AF">
        <w:tc>
          <w:tcPr>
            <w:tcW w:w="165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2400–2500 MHz</w:t>
            </w:r>
          </w:p>
        </w:tc>
        <w:tc>
          <w:tcPr>
            <w:tcW w:w="3348"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централна фреквенција 2450 MHz</w:t>
            </w:r>
          </w:p>
        </w:tc>
      </w:tr>
      <w:tr w:rsidR="00D23D60" w:rsidRPr="007E52B2" w:rsidTr="00F943AF">
        <w:tc>
          <w:tcPr>
            <w:tcW w:w="165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5725–5875 MHz</w:t>
            </w:r>
          </w:p>
        </w:tc>
        <w:tc>
          <w:tcPr>
            <w:tcW w:w="3348"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централна фреквенција 5800 MHz</w:t>
            </w:r>
          </w:p>
        </w:tc>
      </w:tr>
      <w:tr w:rsidR="00D23D60" w:rsidRPr="007E52B2" w:rsidTr="00F943AF">
        <w:tc>
          <w:tcPr>
            <w:tcW w:w="165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24–24.25 GHz</w:t>
            </w:r>
          </w:p>
        </w:tc>
        <w:tc>
          <w:tcPr>
            <w:tcW w:w="3348"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централна фреквенција 24.125 GHz</w:t>
            </w:r>
          </w:p>
        </w:tc>
      </w:tr>
    </w:tbl>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су</w:t>
      </w:r>
      <w:proofErr w:type="gramEnd"/>
      <w:r w:rsidRPr="007E52B2">
        <w:rPr>
          <w:rFonts w:ascii="Arial" w:hAnsi="Arial" w:cs="Arial"/>
          <w:color w:val="000000"/>
          <w:sz w:val="20"/>
          <w:szCs w:val="20"/>
        </w:rPr>
        <w:t xml:space="preserve">, такође, одређени за примену у индустрији, науци и медицини (ISM). </w:t>
      </w:r>
      <w:proofErr w:type="gramStart"/>
      <w:r w:rsidRPr="007E52B2">
        <w:rPr>
          <w:rFonts w:ascii="Arial" w:hAnsi="Arial" w:cs="Arial"/>
          <w:color w:val="000000"/>
          <w:sz w:val="20"/>
          <w:szCs w:val="20"/>
        </w:rPr>
        <w:t>Радио-коминикацијске службе које раде у оквиру ових опсега морају прихватити штетне сметње које могу бити изазване овим применама.</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Рад ISM уређаја у овим опсезима регулисан је у одредби тачке 15.13 Правилника.</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5.151 Додатна намена: Фреквенције из опсега 13570–13600 kHz и 13800–13870 kHz могу бити коришћене од стране станица у фиксној служби и мобилној служби изузев ваздухопловне мобилне (R), и то само при комуникацији унутар граница територије државе у којој су лоциране, и под условом да не изазивају штетне сметње радиодифузној служби. Приликом коришћења фреквенција у оквиру ових служби, од администрација се захтева да користе минимум потребне снаге и да узму у обзир сезонско коришћење фреквенција за радиодифузну службу, објављено у складу са Правилником. (WRC-07)</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5.155B Опсег 21870–21924 kHz користи фиксна служба за пружање услуга везаних за безбедност у ваздушној пловидби.</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5.156A Коришћење опсега 23200–23350 kHz од стране фиксне службе ограничено је на пружање услуга везаних за безбедност у ваздушној пловидби.</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5.157 Коришћење опсега 23350–24000 kHz у поморској мобилној служби ограничено је на комуникацију између бродова радио-телеграфијом.</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RR 5.162А Додатна намена: у Немачкој, Аустрији, Белгији, Босни и Херцеговини, Кини, Ватикану, Данској, Шпанији, Естонији, Руској Федерацији, Финској, Француској, Ирској, Исланду, Италији, Летонији, Македонији, Лихтенштајну, Литванији, Луксембургу, Монаку, Црној Гори, Норвешкој, Холандији, Пољској, Португалији, Чешкој, Уједињеном Краљевству, Србији, Словенији, Шведској и Швајцарској опсег 46–68 MHz је такође намењен радиолокацијској служби на секундарној основи. </w:t>
      </w:r>
      <w:proofErr w:type="gramStart"/>
      <w:r w:rsidRPr="007E52B2">
        <w:rPr>
          <w:rFonts w:ascii="Arial" w:hAnsi="Arial" w:cs="Arial"/>
          <w:color w:val="000000"/>
          <w:sz w:val="20"/>
          <w:szCs w:val="20"/>
        </w:rPr>
        <w:t>Овакво коришћење је ограничено на рад радара за профилисање ветра према Резолуцији 217 (WRC-97).</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(WRC-12).</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RR 5.164 Додатна намена: у Албанији, Алжиру, Немачкој, Аустрији, Белгији, Босни и Херцеговини, Боцвани, Бугарској, Обали Слоноваче, Хрватској, Данској, Шпанији, Естонији, Финској, Француској, Габону, Грчкој, Ирској, Израелу, Италији, Јордану, Либану, Либији, Лихтенштајну, Литванији, Луксембургу, Мадагаскару, Малију, Малти, Мароку, Мауританији, Монаку, Црној Гори, Нигерији, Норвешкој, Холандији, Пољској, Сирији, Словачкој, Чешкој, Румунији, Уједињеном Краљевству, Србији, Словенији, Шведској, Швајцарској, Свазиленду, Чаду, Тогоу, Тунису и Турској фреквенцијски опсег 47–68 MHz, у Јужноафричкој Републици опсег 47–50 MHz, у Летонији опсег 48,5–56,5 MHz је такође намењен копненој мобилној служби на примарној основи. </w:t>
      </w:r>
      <w:proofErr w:type="gramStart"/>
      <w:r w:rsidRPr="007E52B2">
        <w:rPr>
          <w:rFonts w:ascii="Arial" w:hAnsi="Arial" w:cs="Arial"/>
          <w:color w:val="000000"/>
          <w:sz w:val="20"/>
          <w:szCs w:val="20"/>
        </w:rPr>
        <w:t>Међутим, станице копнене мобилне службе у горенаведеним земљама не смеју у релевантним опсезима да изазивају штетне сметње постојећим или планираним радиодифузним станицама земаља које нису наведене за дати опсег, нити да захтевају заштиту од истих.</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(WRC-15).</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5.180 Фреквенција 75 МHz је додељена маркерским радио фаровима.</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Додела фреквенција станицама других служби у близини границе заштитног опсега се избегава, јер те станице својом снагом или географским положајем могу да изазову штетне сметње или на други начин да угрозе рад маркерских радио фарова.</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lastRenderedPageBreak/>
        <w:t>Потребно је учинити максималне напоре у циљу даљег побољшања карактеристика пријемника на летелицама као и ограничавања снага предајника који раде у опсегу 74.8–75.2 МHz.</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RR 5.197A Додатна намена: Опсег 108–117.975 MHz је такође намењен ваздухопловној мобилној (R) служби на примарној основи, и то само системима који раде у сагласности са признатим међународним ваздухопловним стандардима. </w:t>
      </w:r>
      <w:proofErr w:type="gramStart"/>
      <w:r w:rsidRPr="007E52B2">
        <w:rPr>
          <w:rFonts w:ascii="Arial" w:hAnsi="Arial" w:cs="Arial"/>
          <w:color w:val="000000"/>
          <w:sz w:val="20"/>
          <w:szCs w:val="20"/>
        </w:rPr>
        <w:t>Ово коришћење треба да буде у сагласности са Резолуцијом 413 (Rev. WRC-07).</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Коришћење опсега 108–112 MHz за ваздухопловну мобилну (R) службу је ограничено на системе земаљских предајника и придружених пријемника који пружају навигационе информације као подршку функцијама ваздухопловне навигације, у складу са признатим међународним ваздухопловним стандардима.</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(WRC-07).</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RR 5.200 У опсегу 117.975–137 МHz, фреквенција 121.5 МHz је ваздухопловна фреквенција за случај опасности, а по потреби се користи и фреквенција 123.1 МHz, као додатна ваздухопловној фреквенцији 121.5 МHz. Мобилне станице у поморској мобилној служби могу да комуницирају на овим фреквенцијама са станицама у ваздухопловној мобилној служби ради безбедности и у случају опасности, под условима утврђеним чланом 31. </w:t>
      </w:r>
      <w:proofErr w:type="gramStart"/>
      <w:r w:rsidRPr="007E52B2">
        <w:rPr>
          <w:rFonts w:ascii="Arial" w:hAnsi="Arial" w:cs="Arial"/>
          <w:color w:val="000000"/>
          <w:sz w:val="20"/>
          <w:szCs w:val="20"/>
        </w:rPr>
        <w:t>(WRC-07).</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5.203C Коришћење службе операција у свемиру (свемир-Земља) са не-геостационарним сателитским системима за мисије кратког трајања у фреквенцијском опсегу 137–138 MHz је предмет Резолуције 660 (WRC-19).</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Примењује се Резолуција 32 (WRC-19).</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Ови системи неће узроковати штетну сметњу према постојећим службама којима је фреквенцијски опсег намењен на примарној основи, нити ће тражити заштиту од истих.</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(WRC-19).</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5.208 Коришћење опсега 137–138 МHz за мобилну сателитску службу подлеже координацији према члану 9.11А.</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(WRC-97).</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RR 5.208A Приликом додела фреквенција свемирским станицама у мобилној сателитској служби у опсезима 137–138 МHz, 387–390 МHz и 400.15–401 МHz, администрације ће предузети све могуће мере да заштите радио-астрономску службу у опсезима 150.05–153 МHz, 322–328.6 МHz, 406.1–410 МHz и 608–614 МHz од штетних сметњи нежељених емисија. </w:t>
      </w:r>
      <w:proofErr w:type="gramStart"/>
      <w:r w:rsidRPr="007E52B2">
        <w:rPr>
          <w:rFonts w:ascii="Arial" w:hAnsi="Arial" w:cs="Arial"/>
          <w:color w:val="000000"/>
          <w:sz w:val="20"/>
          <w:szCs w:val="20"/>
        </w:rPr>
        <w:t>Нивои штетних сметњи радио-астрономској служби су дати у релевантној Препоруци ITU-R.</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(WRC-07).</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5.208B У следећим опсезима:</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137–138 MHz,</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387–390 MHz,</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400.15–401 MHz,</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1452–1492 MHz,</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1525–1610 MHz,</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1613.8–1626.5 MHz,</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2655–2690 MHz,</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21.4–22 GHz,</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се</w:t>
      </w:r>
      <w:proofErr w:type="gramEnd"/>
      <w:r w:rsidRPr="007E52B2">
        <w:rPr>
          <w:rFonts w:ascii="Arial" w:hAnsi="Arial" w:cs="Arial"/>
          <w:color w:val="000000"/>
          <w:sz w:val="20"/>
          <w:szCs w:val="20"/>
        </w:rPr>
        <w:t xml:space="preserve"> премењује Резолуција 739 (Rev.WRC-07). (WRC-07)</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RR 5.209 Коришћење опсега 137–138 МHz, 148–150.05 МHz, 399.9–400.05 МHz, 400.15–401 МHz, 454–456 МHz и 459–460 МHz од стране мобилне сателитске службе је ограничено на не-геостационарне сателитске системе. </w:t>
      </w:r>
      <w:proofErr w:type="gramStart"/>
      <w:r w:rsidRPr="007E52B2">
        <w:rPr>
          <w:rFonts w:ascii="Arial" w:hAnsi="Arial" w:cs="Arial"/>
          <w:color w:val="000000"/>
          <w:sz w:val="20"/>
          <w:szCs w:val="20"/>
        </w:rPr>
        <w:t>(WRC-97).</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5.209A Коришћење фреквенцијског опсега 137.175–137.825 MHz од стране не-геостационарних сателитских система у служби операција у свемиру препознатих као мисија кратког трајања у складу с Додатком 4 Правилника није предмет напомене 9.11А Правилника. (WRC-19).</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RR 5.211 Додатна намена: у Немачкој, Саудијској Арабији, Аустрији, Бахреину, Белгији, Данској, Уједињеним Арапским Емиратима, Финској, Грчкој, Гвинеји, Ирској, Израелу, Кенији, Кувајту, Македонији, Либану, Лихтенштајну, Луксембургу, Малију, Малти, Црној Гори, Норвешкој, Холандији, Катару, Словачкој, Уједињеном Краљевству, Србији, Словенији, Сомалији, Шпанији, Шведској, Швајцарској, Танзанији, Тунису и Турској опсег 138–144 МHz је такође намењен поморској мобилној и копненој мобилној служби на примарној основи. </w:t>
      </w:r>
      <w:proofErr w:type="gramStart"/>
      <w:r w:rsidRPr="007E52B2">
        <w:rPr>
          <w:rFonts w:ascii="Arial" w:hAnsi="Arial" w:cs="Arial"/>
          <w:color w:val="000000"/>
          <w:sz w:val="20"/>
          <w:szCs w:val="20"/>
        </w:rPr>
        <w:t>(WRC-15).</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RR 5.214 Додатна намена: у Еритреји, Етиопији, Кенији, Македонији, Малти, Црној Гори, Србији, Сомалији, Судану и Танзанији опсег 138–144 МHz је такође намењен фиксној служби на примарној основи. </w:t>
      </w:r>
      <w:proofErr w:type="gramStart"/>
      <w:r w:rsidRPr="007E52B2">
        <w:rPr>
          <w:rFonts w:ascii="Arial" w:hAnsi="Arial" w:cs="Arial"/>
          <w:color w:val="000000"/>
          <w:sz w:val="20"/>
          <w:szCs w:val="20"/>
        </w:rPr>
        <w:t>(WRC-12).</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5.219 Коришћење опсега 148–149.9 МHz за мобилну сателитску службу подлеже координацији према одредби тачке 9.11A Правилника. Мобилна сателитска служба не сме да ограничава развој и коришћење фиксне, мобилне и службе операција у свемиру у опсегу 148–149.9 МHz.</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5.220 Коришћење опсега 149.9–150.05 МHz и 399.9–400.05 МHz за мобилну сателитску службу подлеже координацији, сагласно одредби тачке 9.11A Правилника. (WRC-15)</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RR 5.221 Станице мобилне сателитске службе у опсегу 148–149.9 МHz не смеју проузроковати штетне сметње станицама фиксне или мобилне службе које раде сагласно са Табелом намене, нити захтевати заштиту од истих, у следећим земљама: Албанији, Алжиру, Немачкој, Саудиjској Арабији, Аустралији, Аустрији, Бахреину, Бангладешу, Барбадосу, Белорусији, Белгији, Бенину, Босни и Херцеговини, Боцвани, Брунеју, Бугарској, Камеруну, Кини, Кипру, Републици Конгу, Републици Кореји, Обали Слоноваче, Хрватској, Куби, Данској, Џибутију, Египту, Уједињеним Арапским Емиратима, Еритреји, Шпанији, Естонији, Етиопији, Руској Федерацији, Финској, Француској, Габону, Грузији, Гани, Грчкој, Гвинеји, Гвинеји Бисао, Мађарској, Индији, Ирану, Ирској, Исланду, Израелу, Италији, Јамајци, Јапану, Јордану, Казахстану, Кенији, Кувајту, Македонији, Лесоту, Летонији, Либану, Либији, Лихтенштајну, Литванији, </w:t>
      </w:r>
      <w:r w:rsidRPr="007E52B2">
        <w:rPr>
          <w:rFonts w:ascii="Arial" w:hAnsi="Arial" w:cs="Arial"/>
          <w:color w:val="000000"/>
          <w:sz w:val="20"/>
          <w:szCs w:val="20"/>
        </w:rPr>
        <w:lastRenderedPageBreak/>
        <w:t>Луксембургу, Малезији, Малију, Малти, Мауританији, Молдавији, Монголији, Црној Гори, Мозамбику, Намибији, Норвешкој, Новом Зеланду, Оману, Уганди, Узбекистану, Пакистану, Панами, Папуи Новој Гвинеји, Парагвају, Холандији, Филипинима, Пољској, Португалији, Катару, Сирији, Киргистану, НДР Кореји, Словачкој, Румунији, Уједињеном Краљевству, Сенегалу, Србији, Сијера Леонеу, Сингапуру, Словенији, Шри Ланци, Јужноафричкој Републици, Шведској, Швајцарској, Свазиленду, Танзанији, Чаду, Тогоу, Тонгу, Тринидаду и Тобагу, Тунису, Турској, Украјини, Вијетнаму, Јемену, Замбији и Зимбабвеу. (WRC-15)</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5.226 Фреквенција 156.8 МHz је међународна фреквенција за опасност, безбедност и позивaње у поморској мобилној VHF радио-телефонској служби.</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Услови за коришћење ове фреквенције и опсега 156.7625–156.8375 МHz су садржани у члану 31.</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и</w:t>
      </w:r>
      <w:proofErr w:type="gramEnd"/>
      <w:r w:rsidRPr="007E52B2">
        <w:rPr>
          <w:rFonts w:ascii="Arial" w:hAnsi="Arial" w:cs="Arial"/>
          <w:color w:val="000000"/>
          <w:sz w:val="20"/>
          <w:szCs w:val="20"/>
        </w:rPr>
        <w:t xml:space="preserve"> Додатку 18 Правилника.</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Фреквенција 156.525 МHz је међународна фреквенција за опасност, безбедност и позивaње у поморској мобилној VHF радио-телефонској служби која користи дигитално селективно позивање (DSC).</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Услови за коришћење ове фреквенције и опсега 156.4875–156.5625 МHz су садржани у чл.</w:t>
      </w:r>
      <w:proofErr w:type="gramEnd"/>
      <w:r w:rsidRPr="007E52B2">
        <w:rPr>
          <w:rFonts w:ascii="Arial" w:hAnsi="Arial" w:cs="Arial"/>
          <w:color w:val="000000"/>
          <w:sz w:val="20"/>
          <w:szCs w:val="20"/>
        </w:rPr>
        <w:t xml:space="preserve"> 31. </w:t>
      </w:r>
      <w:proofErr w:type="gramStart"/>
      <w:r w:rsidRPr="007E52B2">
        <w:rPr>
          <w:rFonts w:ascii="Arial" w:hAnsi="Arial" w:cs="Arial"/>
          <w:color w:val="000000"/>
          <w:sz w:val="20"/>
          <w:szCs w:val="20"/>
        </w:rPr>
        <w:t>и</w:t>
      </w:r>
      <w:proofErr w:type="gramEnd"/>
      <w:r w:rsidRPr="007E52B2">
        <w:rPr>
          <w:rFonts w:ascii="Arial" w:hAnsi="Arial" w:cs="Arial"/>
          <w:color w:val="000000"/>
          <w:sz w:val="20"/>
          <w:szCs w:val="20"/>
        </w:rPr>
        <w:t xml:space="preserve"> 52. </w:t>
      </w:r>
      <w:proofErr w:type="gramStart"/>
      <w:r w:rsidRPr="007E52B2">
        <w:rPr>
          <w:rFonts w:ascii="Arial" w:hAnsi="Arial" w:cs="Arial"/>
          <w:color w:val="000000"/>
          <w:sz w:val="20"/>
          <w:szCs w:val="20"/>
        </w:rPr>
        <w:t>и</w:t>
      </w:r>
      <w:proofErr w:type="gramEnd"/>
      <w:r w:rsidRPr="007E52B2">
        <w:rPr>
          <w:rFonts w:ascii="Arial" w:hAnsi="Arial" w:cs="Arial"/>
          <w:color w:val="000000"/>
          <w:sz w:val="20"/>
          <w:szCs w:val="20"/>
        </w:rPr>
        <w:t xml:space="preserve"> Додатку 18.</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У опсезима: 156–156.4875 МHz, 156.5625–156.7625 МHz, 156.8375–157.45 МHz, 160.6–160.975 МHz и 161.475–162.05 МHz све администрације треба да дају приоритет поморској мобилној служби једино на оним фреквенцијама које су додељене станицама поморске мобилне службе од стране дате администрације (видети чл. 31. </w:t>
      </w:r>
      <w:proofErr w:type="gramStart"/>
      <w:r w:rsidRPr="007E52B2">
        <w:rPr>
          <w:rFonts w:ascii="Arial" w:hAnsi="Arial" w:cs="Arial"/>
          <w:color w:val="000000"/>
          <w:sz w:val="20"/>
          <w:szCs w:val="20"/>
        </w:rPr>
        <w:t>и</w:t>
      </w:r>
      <w:proofErr w:type="gramEnd"/>
      <w:r w:rsidRPr="007E52B2">
        <w:rPr>
          <w:rFonts w:ascii="Arial" w:hAnsi="Arial" w:cs="Arial"/>
          <w:color w:val="000000"/>
          <w:sz w:val="20"/>
          <w:szCs w:val="20"/>
        </w:rPr>
        <w:t xml:space="preserve"> 52. </w:t>
      </w:r>
      <w:proofErr w:type="gramStart"/>
      <w:r w:rsidRPr="007E52B2">
        <w:rPr>
          <w:rFonts w:ascii="Arial" w:hAnsi="Arial" w:cs="Arial"/>
          <w:color w:val="000000"/>
          <w:sz w:val="20"/>
          <w:szCs w:val="20"/>
        </w:rPr>
        <w:t>и</w:t>
      </w:r>
      <w:proofErr w:type="gramEnd"/>
      <w:r w:rsidRPr="007E52B2">
        <w:rPr>
          <w:rFonts w:ascii="Arial" w:hAnsi="Arial" w:cs="Arial"/>
          <w:color w:val="000000"/>
          <w:sz w:val="20"/>
          <w:szCs w:val="20"/>
        </w:rPr>
        <w:t xml:space="preserve"> Додатак 18 Правилника).</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Свако коришћење фреквенција у овим опсезима од стране других служби којима су исти намењени треба да се избегава у зонама где такво коришћење може да изазове штетне сметње поморској мобилној VHF радио-комуникацијској служби.</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Међутим, фреквенције 156.8 МHz и 156.625 МHz и фреквенцијски опсези у којима је приоритет дат поморској мобилној служби могу се користити за радио-комуникације на унутрашњим пловним путевима под условом да се закључи споразум између заинтересованих и угрожених администрација, узимајући у обзир постојеће коришћење фреквенција и постојеће споразуме. (WRC-07)</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5.227 Додатна намена: Опсези 156.4875–156.5125 МHz и 156.5375–156.5625 МHz су такође намењени фиксној и копненој мобилној служби на примарној основи. Коришћење ових опсега од стране фиксне и копнене мобилне службе не сме да изазове штетне сметње поморској мобилној VHF радио-комуникацијској служби, нити да захтева заштиту од исте</w:t>
      </w:r>
      <w:proofErr w:type="gramStart"/>
      <w:r w:rsidRPr="007E52B2">
        <w:rPr>
          <w:rFonts w:ascii="Arial" w:hAnsi="Arial" w:cs="Arial"/>
          <w:color w:val="000000"/>
          <w:sz w:val="20"/>
          <w:szCs w:val="20"/>
        </w:rPr>
        <w:t>.(</w:t>
      </w:r>
      <w:proofErr w:type="gramEnd"/>
      <w:r w:rsidRPr="007E52B2">
        <w:rPr>
          <w:rFonts w:ascii="Arial" w:hAnsi="Arial" w:cs="Arial"/>
          <w:color w:val="000000"/>
          <w:sz w:val="20"/>
          <w:szCs w:val="20"/>
        </w:rPr>
        <w:t>WRC-07)</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5.228 Коришћење фреквенцијских опсега 156.7625–156.7875 MHz и 156.8125–156.8375 MHz од стране мобилне сателитске службе (Земља-свемир) је ограничено на пријем емисија Система за аутоматску идентификацију (AIS) дуготаласних AIS емитованих порука (Порука 27, видети најновију верзију Препоруке ITU-R M.1371). Са изузетком AIS емисија, емисије система који раде у поморској мобилној служби за комуникације у овим фреквенцијским опсезима неће прећи 1 W. (WRC-12)</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5.228AA Коришћење фреквенцијских опсега 161.9375–161.9625 MHz и 162.9875–162.0125 MHz од стране поморске мобилне сателитске службе (Земља-свемир) је ограничено на системе који раде у складу са Додатком 18 Правилника. (WRC-15)</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5.228F Коришћење фреквенцијских опсега 161.9625–161.9875 MHz и 162.0125–162.0375 MHz од стране мобилне-сателитске службе (Земља-свемир) је органичено на пријем емисија система за аутоматску идентификацију који раде у поморској мобилној служби.</w:t>
      </w:r>
      <w:proofErr w:type="gramEnd"/>
      <w:r w:rsidRPr="007E52B2">
        <w:rPr>
          <w:rFonts w:ascii="Arial" w:hAnsi="Arial" w:cs="Arial"/>
          <w:color w:val="000000"/>
          <w:sz w:val="20"/>
          <w:szCs w:val="20"/>
        </w:rPr>
        <w:t xml:space="preserve"> (WRC-12)</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5.254 Опсези 235–322 и 335.4–399.9 MHz могу се користити за мобилну сателитску службу на основу споразума који се закључује сагласно одредби тачке.</w:t>
      </w:r>
      <w:proofErr w:type="gramEnd"/>
      <w:r w:rsidRPr="007E52B2">
        <w:rPr>
          <w:rFonts w:ascii="Arial" w:hAnsi="Arial" w:cs="Arial"/>
          <w:color w:val="000000"/>
          <w:sz w:val="20"/>
          <w:szCs w:val="20"/>
        </w:rPr>
        <w:t xml:space="preserve"> 9.21 Правилника, под условом да станице у овој служби не изазивају шетне сметње службама које раде или су планиранe да раде сагласно са Табелом намене, изузев за додатне намене које су садржане у тачки 5.256А Правилника. (WRC-03)</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5.255 Опсези 312–315 МHz (Земља-свемир) и 387–390 МHz (свемир-Земља) у мобилној сателитској служби могу такође да се користе за не-геостационарне сателитске системе.</w:t>
      </w:r>
      <w:proofErr w:type="gramEnd"/>
      <w:r w:rsidRPr="007E52B2">
        <w:rPr>
          <w:rFonts w:ascii="Arial" w:hAnsi="Arial" w:cs="Arial"/>
          <w:color w:val="000000"/>
          <w:sz w:val="20"/>
          <w:szCs w:val="20"/>
        </w:rPr>
        <w:t xml:space="preserve"> Такво коришћење подлеже координацији у складу са одредбом тачке 9.11А Правилника. RR 5.256 Фреквенцију 243 МHz користе станице објеката за спасавање и уређаји који се користе у сврхе спасавања.(WRC-07)</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5.258 Коришћење опсега 328.6–335.4 МHz за ваздухопловну радионавигацијску службу је ограничено на системе за инструментално слетање ваздухоплова (</w:t>
      </w:r>
      <w:r w:rsidRPr="007E52B2">
        <w:rPr>
          <w:rFonts w:ascii="Arial" w:hAnsi="Arial" w:cs="Arial"/>
          <w:i/>
          <w:iCs/>
          <w:color w:val="000000"/>
          <w:sz w:val="20"/>
          <w:szCs w:val="20"/>
        </w:rPr>
        <w:t>glide path</w:t>
      </w:r>
      <w:r w:rsidRPr="007E52B2">
        <w:rPr>
          <w:rFonts w:ascii="Arial" w:hAnsi="Arial" w:cs="Arial"/>
          <w:color w:val="000000"/>
          <w:sz w:val="20"/>
          <w:szCs w:val="20"/>
        </w:rPr>
        <w:t>).</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5.261 Емисије треба да се ограниче на опсег ± 25 kHz око еталона фреквенције 400.1 МHz.</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5.263 Опсег 400.15–401 МHz је намењен и за службу истраживања свемира, у смеру свемир-свемир, за комуникацију са свемирским летелицама са људском посадом.</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У тој примени служба истраживања свемира нема статус службе спасавања.</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5.264 Коришћење опсега 400.15–401 МHz за мобилну сателитску службу подлеже координацији сагласно одредби тачке 9.11A Правилника. Граничне вредности за густину флукса снаге дате су у Анексу 1 Додатка 5 Правилника и примењују се све док не буду ревидиране на одговарајућој светској конференцији за радио-комуникације.</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5.264A У фреквенцијском опсегу 401–403 MHz, максимална e.i.r.p. ниједне емисије, ниједне станице на Земљи у метеоролошко-сателитској служби и служби истраживања Земље сателитом неће прећи 22 dBW ни у једном опсегу од 4 kHz за геостационарне сателитске системе и не-геостационарне сателитске системе са апогејом орбите једнаком или већом од 35786 km.</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Максимална e.i.r.p. ниједне емисије, ниједне станице на Земљи у метеоролошко-сателитској служби и служби истраживања Земље сателитом неће прећи 7 dBW ни у једном опсегу од 4 kHz за не-геостационарне сателитске системе са апогејом орбите мањом од 35786 km.</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lastRenderedPageBreak/>
        <w:t>Максимална e.i.r.p. ниједне станице на Земљи у метеоролошко-сателитској служби и служби истраживања Земље-сателитом неће прећи 22 dBW за геостационарне сателитске системе и не-геостационарне сателитске системе са апогејом орбите једнаком или већом од 35786 km у целом фреквенцијском опсегу 401–403 MHz. Максимална e.i.r.p. ниједне станице на Земљи у метеоролошко-сателитској служби и служби истраживања Земље сателитом неће прећи 7 dBW за не-геостационарне сателитске системе са апогејом орбите мањом од 35786 km у целом фреквенцијском опсегу 401–403 MHz.</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До 22.</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новембра</w:t>
      </w:r>
      <w:proofErr w:type="gramEnd"/>
      <w:r w:rsidRPr="007E52B2">
        <w:rPr>
          <w:rFonts w:ascii="Arial" w:hAnsi="Arial" w:cs="Arial"/>
          <w:color w:val="000000"/>
          <w:sz w:val="20"/>
          <w:szCs w:val="20"/>
        </w:rPr>
        <w:t xml:space="preserve"> 2029. </w:t>
      </w:r>
      <w:proofErr w:type="gramStart"/>
      <w:r w:rsidRPr="007E52B2">
        <w:rPr>
          <w:rFonts w:ascii="Arial" w:hAnsi="Arial" w:cs="Arial"/>
          <w:color w:val="000000"/>
          <w:sz w:val="20"/>
          <w:szCs w:val="20"/>
        </w:rPr>
        <w:t>године</w:t>
      </w:r>
      <w:proofErr w:type="gramEnd"/>
      <w:r w:rsidRPr="007E52B2">
        <w:rPr>
          <w:rFonts w:ascii="Arial" w:hAnsi="Arial" w:cs="Arial"/>
          <w:color w:val="000000"/>
          <w:sz w:val="20"/>
          <w:szCs w:val="20"/>
        </w:rPr>
        <w:t xml:space="preserve">, ова ограничења се неће примењивати на сателитске системе за које је комплетна информација о нотификацији примљена од стране Бироа до 22. </w:t>
      </w:r>
      <w:proofErr w:type="gramStart"/>
      <w:r w:rsidRPr="007E52B2">
        <w:rPr>
          <w:rFonts w:ascii="Arial" w:hAnsi="Arial" w:cs="Arial"/>
          <w:color w:val="000000"/>
          <w:sz w:val="20"/>
          <w:szCs w:val="20"/>
        </w:rPr>
        <w:t>новембра</w:t>
      </w:r>
      <w:proofErr w:type="gramEnd"/>
      <w:r w:rsidRPr="007E52B2">
        <w:rPr>
          <w:rFonts w:ascii="Arial" w:hAnsi="Arial" w:cs="Arial"/>
          <w:color w:val="000000"/>
          <w:sz w:val="20"/>
          <w:szCs w:val="20"/>
        </w:rPr>
        <w:t xml:space="preserve"> 2019. </w:t>
      </w:r>
      <w:proofErr w:type="gramStart"/>
      <w:r w:rsidRPr="007E52B2">
        <w:rPr>
          <w:rFonts w:ascii="Arial" w:hAnsi="Arial" w:cs="Arial"/>
          <w:color w:val="000000"/>
          <w:sz w:val="20"/>
          <w:szCs w:val="20"/>
        </w:rPr>
        <w:t>године</w:t>
      </w:r>
      <w:proofErr w:type="gramEnd"/>
      <w:r w:rsidRPr="007E52B2">
        <w:rPr>
          <w:rFonts w:ascii="Arial" w:hAnsi="Arial" w:cs="Arial"/>
          <w:color w:val="000000"/>
          <w:sz w:val="20"/>
          <w:szCs w:val="20"/>
        </w:rPr>
        <w:t xml:space="preserve"> и који су стављени у употребу до тога датума. </w:t>
      </w:r>
      <w:proofErr w:type="gramStart"/>
      <w:r w:rsidRPr="007E52B2">
        <w:rPr>
          <w:rFonts w:ascii="Arial" w:hAnsi="Arial" w:cs="Arial"/>
          <w:color w:val="000000"/>
          <w:sz w:val="20"/>
          <w:szCs w:val="20"/>
        </w:rPr>
        <w:t>Након 22.</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новембра</w:t>
      </w:r>
      <w:proofErr w:type="gramEnd"/>
      <w:r w:rsidRPr="007E52B2">
        <w:rPr>
          <w:rFonts w:ascii="Arial" w:hAnsi="Arial" w:cs="Arial"/>
          <w:color w:val="000000"/>
          <w:sz w:val="20"/>
          <w:szCs w:val="20"/>
        </w:rPr>
        <w:t xml:space="preserve"> 2029. </w:t>
      </w:r>
      <w:proofErr w:type="gramStart"/>
      <w:r w:rsidRPr="007E52B2">
        <w:rPr>
          <w:rFonts w:ascii="Arial" w:hAnsi="Arial" w:cs="Arial"/>
          <w:color w:val="000000"/>
          <w:sz w:val="20"/>
          <w:szCs w:val="20"/>
        </w:rPr>
        <w:t>године</w:t>
      </w:r>
      <w:proofErr w:type="gramEnd"/>
      <w:r w:rsidRPr="007E52B2">
        <w:rPr>
          <w:rFonts w:ascii="Arial" w:hAnsi="Arial" w:cs="Arial"/>
          <w:color w:val="000000"/>
          <w:sz w:val="20"/>
          <w:szCs w:val="20"/>
        </w:rPr>
        <w:t>, ова ограничења ће се примењивати на све системе у оквиру метеоролошко-сателитске службе и службе истраживања Земље сателитом који раде у овом фреквенцијском опсегу. (WRC-19)</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5.264B Не-геостационарни сателитски системи у метеоролошко-сателитској служби и служби истраживања Земље сателитом за које је комплетна информација о нотификацији примљена од стране Бироа пре 28.</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априла</w:t>
      </w:r>
      <w:proofErr w:type="gramEnd"/>
      <w:r w:rsidRPr="007E52B2">
        <w:rPr>
          <w:rFonts w:ascii="Arial" w:hAnsi="Arial" w:cs="Arial"/>
          <w:color w:val="000000"/>
          <w:sz w:val="20"/>
          <w:szCs w:val="20"/>
        </w:rPr>
        <w:t xml:space="preserve"> 2007. </w:t>
      </w:r>
      <w:proofErr w:type="gramStart"/>
      <w:r w:rsidRPr="007E52B2">
        <w:rPr>
          <w:rFonts w:ascii="Arial" w:hAnsi="Arial" w:cs="Arial"/>
          <w:color w:val="000000"/>
          <w:sz w:val="20"/>
          <w:szCs w:val="20"/>
        </w:rPr>
        <w:t>године</w:t>
      </w:r>
      <w:proofErr w:type="gramEnd"/>
      <w:r w:rsidRPr="007E52B2">
        <w:rPr>
          <w:rFonts w:ascii="Arial" w:hAnsi="Arial" w:cs="Arial"/>
          <w:color w:val="000000"/>
          <w:sz w:val="20"/>
          <w:szCs w:val="20"/>
        </w:rPr>
        <w:t xml:space="preserve"> изузети су од одредаба напомене 5.264A Правилника и могу наставити са радом у фреквенцијском опсегу 401.898–402.522 MHz на примарној основи без прекорачења нивоа максималне e.i.r.p. од 12 dBW. (WRC-19)</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5.265 У фреквенцијском опсегу 403–410 MHz, примењује се Резолуција 205 (Rev. WRC-19).</w:t>
      </w:r>
      <w:proofErr w:type="gramEnd"/>
      <w:r w:rsidRPr="007E52B2">
        <w:rPr>
          <w:rFonts w:ascii="Arial" w:hAnsi="Arial" w:cs="Arial"/>
          <w:color w:val="000000"/>
          <w:sz w:val="20"/>
          <w:szCs w:val="20"/>
        </w:rPr>
        <w:t xml:space="preserve"> (WRC-19)</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5.266 Коришћење опсега 406-406.1 МHz од стране мобилне-сателитске службе ограничена је на сателитске радио-фарoве мале снаге за означавање места удеса (видети такође члан 31.</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Правилника).</w:t>
      </w:r>
      <w:proofErr w:type="gramEnd"/>
      <w:r w:rsidRPr="007E52B2">
        <w:rPr>
          <w:rFonts w:ascii="Arial" w:hAnsi="Arial" w:cs="Arial"/>
          <w:color w:val="000000"/>
          <w:sz w:val="20"/>
          <w:szCs w:val="20"/>
        </w:rPr>
        <w:t xml:space="preserve"> (WRC-07)</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5.267 Забрањена је било која емисија која може да изазове штетне сметње у коришћењу опсега 406–406.1 МHz.</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5.275 Додатна намена: у Хрватској, Естонији, Финској, Либији, Македонији, Црној Гори и Србији опсези 430–432 МHz и 438–440 МHz су такође намењени фиксној и мобилној служби, изузев ваздухопловне мобилне, на примарној основи. (WRC-15)</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5.279A Коришћење фреквенцијског опсега 432–438 MHz од стране сензора у сателитској служби истраживања Земље (активна) треба да буде у складу са Препоруком ITU R RS.1260–1.</w:t>
      </w:r>
      <w:proofErr w:type="gramEnd"/>
      <w:r w:rsidRPr="007E52B2">
        <w:rPr>
          <w:rFonts w:ascii="Arial" w:hAnsi="Arial" w:cs="Arial"/>
          <w:color w:val="000000"/>
          <w:sz w:val="20"/>
          <w:szCs w:val="20"/>
        </w:rPr>
        <w:t xml:space="preserve"> Поред тога, сателитска служба истраживања Земље (активна) у фреквенцијском опсегу 432–438 MHz не сме да проузрокује штетне сметње ваздухопловној радионавигацијској служби у Кини. Одредбе ове фусноте ни на који начин не умањују обавезу сателитске службе истраживања Земље (активна) да ради као секундарна служба у складу са тачкама 5.29 и 5.30 Правилника. (WRC-15)</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RR 5.280 У Немачкој, Аустрији, Босни и Херцеговини, Хрватској, Македонији, Лихтенштајну, Црној Гори, Португалији, Србији, Словенији и Швајцарској опсег 433.05–434.79 МHz (централна фреквенција 433.92 МHz) је одређен за примену у индустрији, науци и медицини (ISM). </w:t>
      </w:r>
      <w:proofErr w:type="gramStart"/>
      <w:r w:rsidRPr="007E52B2">
        <w:rPr>
          <w:rFonts w:ascii="Arial" w:hAnsi="Arial" w:cs="Arial"/>
          <w:color w:val="000000"/>
          <w:sz w:val="20"/>
          <w:szCs w:val="20"/>
        </w:rPr>
        <w:t>Радио-комуникацијске службе наведених земаља које раде у овом опсегу морају да прихвате штетне сметње које могу бити изазване овим применама.</w:t>
      </w:r>
      <w:proofErr w:type="gramEnd"/>
      <w:r w:rsidRPr="007E52B2">
        <w:rPr>
          <w:rFonts w:ascii="Arial" w:hAnsi="Arial" w:cs="Arial"/>
          <w:color w:val="000000"/>
          <w:sz w:val="20"/>
          <w:szCs w:val="20"/>
        </w:rPr>
        <w:t xml:space="preserve"> ISM уређаји који раде у овом опсегу подлежу одредбама тачке 15.13 Правилника. (WRC-07)</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RR 5.282 У опсезима: 435–438 МHz, 1260–1270 МHz, 2400–2450 МHz, и 5650–5670 МHz, може да ради аматерска сателитска служба под условом да не изазива штетне сметње другим службама које раде у складу са Табелом (видети тачку 5.43 Правилника). </w:t>
      </w:r>
      <w:proofErr w:type="gramStart"/>
      <w:r w:rsidRPr="007E52B2">
        <w:rPr>
          <w:rFonts w:ascii="Arial" w:hAnsi="Arial" w:cs="Arial"/>
          <w:color w:val="000000"/>
          <w:sz w:val="20"/>
          <w:szCs w:val="20"/>
        </w:rPr>
        <w:t>Администрације које дозвољавају такву употребу обезбедиће да се свака штетна сметња изазвана емисијама од станице у аматерској сателитској служби одмах елиминише сагласно са одредбама тачке 25.11 Правилника. Коришћење опсега 1260-1270 МHz и 5650-5670 МHz од стране аматерске сателитске службе је ограничено на смер Земља-свемир.</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RR5.286AA Опсег 450–470 МHz је одређен за увођење IMT (International Mobile Telecommunications).</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Видети Резолуцију 224 (Rev. WRC-15).</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Ово не искључује коришћење поменутог опсега од стране других служби којима је опсег намењен и не утврђује приоритет у Правилнику.</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5.289 За потребе сателитске службе истраживања Земље, осим за метеоролошку сателитску службу, могу се, такође, користити опсези 460–470 МHz и 1690–1710 МHz за пренос сигнала у смеру свемир-Земља под условом да се не изазивају штетне сметње станицама које раде сагласно са Табелом намене.</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RR 5.291A Додатна намена: у Немачкој, Аустрији, Данској, Естонији, Лихтенштајну, Чешкој Републици, Србији и Швајцарској, опсег 470–494 MHz је такође намењен радиолокацијској служби на секундарној основи. </w:t>
      </w:r>
      <w:proofErr w:type="gramStart"/>
      <w:r w:rsidRPr="007E52B2">
        <w:rPr>
          <w:rFonts w:ascii="Arial" w:hAnsi="Arial" w:cs="Arial"/>
          <w:color w:val="000000"/>
          <w:sz w:val="20"/>
          <w:szCs w:val="20"/>
        </w:rPr>
        <w:t>Ово коришћење је ограничено на рад радара за мерење ветра у складу са Резолуцијом 217 (WRC-97).</w:t>
      </w:r>
      <w:proofErr w:type="gramEnd"/>
      <w:r w:rsidRPr="007E52B2">
        <w:rPr>
          <w:rFonts w:ascii="Arial" w:hAnsi="Arial" w:cs="Arial"/>
          <w:color w:val="000000"/>
          <w:sz w:val="20"/>
          <w:szCs w:val="20"/>
        </w:rPr>
        <w:t xml:space="preserve"> (WRC-15)</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RR 5.296 Додатна намена: у Албанији, Немачкој, Анголи, Саудијској Арабији, Аустрији, Бахреину, Белгији, Бенину, Босни и Херцеговини, Боцвани, Бугарској, Буркини Фасо, Бурундију, Камеруну, Ватикану, Републици Конго, Обали Слоноваче, Хрватској, Данској, Џибутију, Египту, Уједињеним Арапски Емиратима, Шпанији, Естонији, Финској, Француској, Габону, Грузији, Гани, Мађарској, Ираку, Ирској, Исланду, Израелу, Италији, Јордану, Кенији, Кувајту, Лесотоу, Летонији, Бившој Југословенској Републици Македонији, Либану, Либији, Лихтенштајну, Литванији, Луксембургу, Малавију, Малију, Малти, Мароку, Маурицијусу, Мауританији, Молдавији, Монаку, Мозамбику, Намибији, Нигеру, Нигерији, Норвешкој, Оману, Уганди, Холандији, Пољској, Португалији, Катару, Сиријској Арапској Републици, Словачкој, Чешкој Републици, Уједињеном Краљевству, Сан Марину, Србији, Судану, Јужноафричкој Републици, Шведској, Швајцарској, Свазиленду, Танзанији, Чаду, Тогоу, Тунису, Турској, Украјини, Замбији и Зимбабвеу, фреквенцијски опсег 470–694 MHz, и у Анголи, Боцвани, Лесотоу, Малавију, Маурицијусу, Мозамбику, Намибији, Нигерији, Јужноафричкој Републици, Танзанији, Замбији и Зимбабвеу, фреквенцијски опсег 470–694 MHz је такође намењен копненој мобилној служби на секундарној основи, за SAP/SAB (Services Ancillary to Programme Мaking/Services Ancillary to Broadcasting) примене. </w:t>
      </w:r>
      <w:proofErr w:type="gramStart"/>
      <w:r w:rsidRPr="007E52B2">
        <w:rPr>
          <w:rFonts w:ascii="Arial" w:hAnsi="Arial" w:cs="Arial"/>
          <w:color w:val="000000"/>
          <w:sz w:val="20"/>
          <w:szCs w:val="20"/>
        </w:rPr>
        <w:t>Станице копнене мобилне службе у земљама наведеним у овој фусноти не смеју да изазивају штетне сметње постојећим или планираним станицама које раде у складу са Табелом намене у земљама које нису наведене у овој фусноти.</w:t>
      </w:r>
      <w:proofErr w:type="gramEnd"/>
      <w:r w:rsidRPr="007E52B2">
        <w:rPr>
          <w:rFonts w:ascii="Arial" w:hAnsi="Arial" w:cs="Arial"/>
          <w:color w:val="000000"/>
          <w:sz w:val="20"/>
          <w:szCs w:val="20"/>
        </w:rPr>
        <w:t xml:space="preserve"> (WRC-15)</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lastRenderedPageBreak/>
        <w:t>RR 5.312A У Региону 1, коришћење фреквенцијског опсега 694–790 MHz од стране мобилне службе, осим ваздухопловне мобилне службе, подлеже одредбама Резолуције 760 (WRC-15).</w:t>
      </w:r>
      <w:proofErr w:type="gramEnd"/>
      <w:r w:rsidRPr="007E52B2">
        <w:rPr>
          <w:rFonts w:ascii="Arial" w:hAnsi="Arial" w:cs="Arial"/>
          <w:color w:val="000000"/>
          <w:sz w:val="20"/>
          <w:szCs w:val="20"/>
        </w:rPr>
        <w:t xml:space="preserve"> Видети такође Резолузију 224 (Rev.WRC-15) (WRC-15)</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RR 5.316B У Региону 1, намена за мобилну службу, изузев ваздухопловне мобилне, у фреквенцијском опсегу 790–862 MHz подлеже закључивању споразума у складу са тачком 9.21, а узимајући у обзир ваздухопловну радионавигацијску службу у земљама наведеним у тачки 5.312. </w:t>
      </w:r>
      <w:proofErr w:type="gramStart"/>
      <w:r w:rsidRPr="007E52B2">
        <w:rPr>
          <w:rFonts w:ascii="Arial" w:hAnsi="Arial" w:cs="Arial"/>
          <w:color w:val="000000"/>
          <w:sz w:val="20"/>
          <w:szCs w:val="20"/>
        </w:rPr>
        <w:t>За земље потписнице Споразума GE06, коришћење опсега од стране станица у мобилној служби такође подлеже примени процедура из Споразума. Примењују се и Резолуција 224 (Rev.WRC-15) и Резолуција 749 (Rev.WRC-15).</w:t>
      </w:r>
      <w:proofErr w:type="gramEnd"/>
      <w:r w:rsidRPr="007E52B2">
        <w:rPr>
          <w:rFonts w:ascii="Arial" w:hAnsi="Arial" w:cs="Arial"/>
          <w:color w:val="000000"/>
          <w:sz w:val="20"/>
          <w:szCs w:val="20"/>
        </w:rPr>
        <w:t xml:space="preserve"> (WRC-15)</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5.317А Делови фреквенцијског опсега 698–960 MHz у Региону 2 и фреквенцијски опсези 694–790 MHz у Региону 1 и 790–960 у Регионима 1 и 3 који су намењени мобилној служби на примарној основи препознати су као опсези за увођење IMT (International Mobile Telecommunications) – види Резолуцију 224 (Rev.WRC-15), 760 (WRC-15) и 749 (Rev.WRC-15). Ово не искључује коришћење датог опсега од стране других служби којима је опсег намењен и не утврђује приоритет у Правилнику. (WRC-15)</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5.327А Коришћење опсега 960–1164 MHz од стране ваздухопловне мобилне (R) службе је ограничено на системе који раде у складу са признатим међународним ваздухопловним стандардима.</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Овакво коришћење треба да је у складу са Резолуцијом 417 (WRC-15).</w:t>
      </w:r>
      <w:proofErr w:type="gramEnd"/>
      <w:r w:rsidRPr="007E52B2">
        <w:rPr>
          <w:rFonts w:ascii="Arial" w:hAnsi="Arial" w:cs="Arial"/>
          <w:color w:val="000000"/>
          <w:sz w:val="20"/>
          <w:szCs w:val="20"/>
        </w:rPr>
        <w:t xml:space="preserve"> (WRC-15)</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5.328 Коришћење опсега 960–1215 МHz од стране ваздухопловне радионавигацијске службе је на глобалном нивоу резервисано за рад и развој помоћних електронских уређаја на летелицама који служе за ваздухопловну навигацију и за све пратеће уређаје на земљи.</w:t>
      </w:r>
      <w:proofErr w:type="gramEnd"/>
      <w:r w:rsidRPr="007E52B2">
        <w:rPr>
          <w:rFonts w:ascii="Arial" w:hAnsi="Arial" w:cs="Arial"/>
          <w:color w:val="000000"/>
          <w:sz w:val="20"/>
          <w:szCs w:val="20"/>
        </w:rPr>
        <w:t xml:space="preserve"> (WRC-2000)</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5.328А Станице у радионавигацијској сателитској служби у опсегу 1164–1215 MHz треба да раде у сагласности са одредбама Резолуције 609 (Rev.WRC-07) и не могу да</w:t>
      </w:r>
      <w:r w:rsidRPr="007E52B2">
        <w:rPr>
          <w:rFonts w:ascii="Arial" w:hAnsi="Arial" w:cs="Arial"/>
          <w:b/>
          <w:bCs/>
          <w:color w:val="000000"/>
          <w:sz w:val="20"/>
          <w:szCs w:val="20"/>
        </w:rPr>
        <w:t> </w:t>
      </w:r>
      <w:r w:rsidRPr="007E52B2">
        <w:rPr>
          <w:rFonts w:ascii="Arial" w:hAnsi="Arial" w:cs="Arial"/>
          <w:color w:val="000000"/>
          <w:sz w:val="20"/>
          <w:szCs w:val="20"/>
        </w:rPr>
        <w:t xml:space="preserve">захтевају заштиту од станица у ваздухопловној радионавигацијској служби у опсегу 960–1215 MHz. Одредба тачке 5.43А Правилника се не примењује. </w:t>
      </w:r>
      <w:proofErr w:type="gramStart"/>
      <w:r w:rsidRPr="007E52B2">
        <w:rPr>
          <w:rFonts w:ascii="Arial" w:hAnsi="Arial" w:cs="Arial"/>
          <w:color w:val="000000"/>
          <w:sz w:val="20"/>
          <w:szCs w:val="20"/>
        </w:rPr>
        <w:t>Одредба тачке 21.18 Правилника се примењује.</w:t>
      </w:r>
      <w:proofErr w:type="gramEnd"/>
      <w:r w:rsidRPr="007E52B2">
        <w:rPr>
          <w:rFonts w:ascii="Arial" w:hAnsi="Arial" w:cs="Arial"/>
          <w:color w:val="000000"/>
          <w:sz w:val="20"/>
          <w:szCs w:val="20"/>
        </w:rPr>
        <w:t xml:space="preserve"> (WRC-07)</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RR 5.328АA Фреквенцијски опсег 1087.7–1092.3 MHz је такође намењен ваздухопловној мобилно-сателитској (R) служби (Земља-свемир) на примарној основи, са тим да је коришћење ограничено на пријем ADS-B (Automatic Dependent Surveillance-Broadcast) емисија са предајника на летелицама, који раде у складу са признатим међународним ваздухопловним стандардима. </w:t>
      </w:r>
      <w:proofErr w:type="gramStart"/>
      <w:r w:rsidRPr="007E52B2">
        <w:rPr>
          <w:rFonts w:ascii="Arial" w:hAnsi="Arial" w:cs="Arial"/>
          <w:color w:val="000000"/>
          <w:sz w:val="20"/>
          <w:szCs w:val="20"/>
        </w:rPr>
        <w:t>Станице које раде у ваздухопловној мобилно-сателитској (R) служби не могу да захтевају заштиту од станица које раде у ваздухопловној радионавигацијској служби.</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Примењује се Резолуција 425 (WRC-15).</w:t>
      </w:r>
      <w:proofErr w:type="gramEnd"/>
      <w:r w:rsidRPr="007E52B2">
        <w:rPr>
          <w:rFonts w:ascii="Arial" w:hAnsi="Arial" w:cs="Arial"/>
          <w:color w:val="000000"/>
          <w:sz w:val="20"/>
          <w:szCs w:val="20"/>
        </w:rPr>
        <w:t xml:space="preserve"> (WRC-15)</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RR 5.328B На коришћење опсега 1164–1300 MHz, 1559–1610 MHz и 5010–5030 MHz од стране система и мрежа у радионавигацијској сателитској служби за које je информација о завршеној координацији или информација о нотификацији достављена Бироу за радио-комуникације после 1. </w:t>
      </w:r>
      <w:proofErr w:type="gramStart"/>
      <w:r w:rsidRPr="007E52B2">
        <w:rPr>
          <w:rFonts w:ascii="Arial" w:hAnsi="Arial" w:cs="Arial"/>
          <w:color w:val="000000"/>
          <w:sz w:val="20"/>
          <w:szCs w:val="20"/>
        </w:rPr>
        <w:t>јануара</w:t>
      </w:r>
      <w:proofErr w:type="gramEnd"/>
      <w:r w:rsidRPr="007E52B2">
        <w:rPr>
          <w:rFonts w:ascii="Arial" w:hAnsi="Arial" w:cs="Arial"/>
          <w:color w:val="000000"/>
          <w:sz w:val="20"/>
          <w:szCs w:val="20"/>
        </w:rPr>
        <w:t xml:space="preserve"> 2005. </w:t>
      </w:r>
      <w:proofErr w:type="gramStart"/>
      <w:r w:rsidRPr="007E52B2">
        <w:rPr>
          <w:rFonts w:ascii="Arial" w:hAnsi="Arial" w:cs="Arial"/>
          <w:color w:val="000000"/>
          <w:sz w:val="20"/>
          <w:szCs w:val="20"/>
        </w:rPr>
        <w:t>године</w:t>
      </w:r>
      <w:proofErr w:type="gramEnd"/>
      <w:r w:rsidRPr="007E52B2">
        <w:rPr>
          <w:rFonts w:ascii="Arial" w:hAnsi="Arial" w:cs="Arial"/>
          <w:color w:val="000000"/>
          <w:sz w:val="20"/>
          <w:szCs w:val="20"/>
        </w:rPr>
        <w:t xml:space="preserve"> примењују одредабе тачака 9.12, 9.12A и 9.13. </w:t>
      </w:r>
      <w:proofErr w:type="gramStart"/>
      <w:r w:rsidRPr="007E52B2">
        <w:rPr>
          <w:rFonts w:ascii="Arial" w:hAnsi="Arial" w:cs="Arial"/>
          <w:color w:val="000000"/>
          <w:sz w:val="20"/>
          <w:szCs w:val="20"/>
        </w:rPr>
        <w:t>Правилника. Такође се примењује и Резолуција 610 (WRC-03).</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Међутим, у случају мрежа и система радионавигацијске сателитске службе (свемир-свемир), Резолуција 610 (WRC-03) се примењује само на предајне свемирске станице.</w:t>
      </w:r>
      <w:proofErr w:type="gramEnd"/>
      <w:r w:rsidRPr="007E52B2">
        <w:rPr>
          <w:rFonts w:ascii="Arial" w:hAnsi="Arial" w:cs="Arial"/>
          <w:color w:val="000000"/>
          <w:sz w:val="20"/>
          <w:szCs w:val="20"/>
        </w:rPr>
        <w:t xml:space="preserve"> Сагласно тачки 5.329A, за системе и мреже у радионавигацијској сателитској служби (свемир-свемир) у опсезима 1215–1300 MHz и 1559–1610 MHz, одредбе тачака 9.7, 9.12, 9.12A и 9.13. </w:t>
      </w:r>
      <w:proofErr w:type="gramStart"/>
      <w:r w:rsidRPr="007E52B2">
        <w:rPr>
          <w:rFonts w:ascii="Arial" w:hAnsi="Arial" w:cs="Arial"/>
          <w:color w:val="000000"/>
          <w:sz w:val="20"/>
          <w:szCs w:val="20"/>
        </w:rPr>
        <w:t>Правилника се примењују само у односу на друге системе и мреже у радионавигацијској сателитској служби (свемир-свемир).</w:t>
      </w:r>
      <w:proofErr w:type="gramEnd"/>
      <w:r w:rsidRPr="007E52B2">
        <w:rPr>
          <w:rFonts w:ascii="Arial" w:hAnsi="Arial" w:cs="Arial"/>
          <w:color w:val="000000"/>
          <w:sz w:val="20"/>
          <w:szCs w:val="20"/>
        </w:rPr>
        <w:t xml:space="preserve"> (WRC-07)</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5.329 Радионавигацијска сателитска служба може да користи опсег 1215–1300 MHz под условом да не ствара штетне сметње радионавигацијској служби која ради на основу тачке.</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5.331 Правилника, нити да захтева заштиту од исте.</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Осим тога, радионавигацијска сателитска служба може да користи опсег 1215–1300 MHz под условом да не ствара штетне сметње радиолокацијској служби.</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Одредба тачке 5.43 Правилника не примењује се у односу на радиолокацијску службу.</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Резолуција 608 (WRC-03) се примењује.</w:t>
      </w:r>
      <w:proofErr w:type="gramEnd"/>
      <w:r w:rsidRPr="007E52B2">
        <w:rPr>
          <w:rFonts w:ascii="Arial" w:hAnsi="Arial" w:cs="Arial"/>
          <w:color w:val="000000"/>
          <w:sz w:val="20"/>
          <w:szCs w:val="20"/>
        </w:rPr>
        <w:t xml:space="preserve"> (WRC-03)</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5.329A Није предвиђено да се системи у радионавигацијској сателитској служби (свемир-свемир) који раде у опсезима 1215–1300 MHz и 1559–1610 MHz користе за потребе службе безбедности.</w:t>
      </w:r>
      <w:proofErr w:type="gramEnd"/>
      <w:r w:rsidRPr="007E52B2">
        <w:rPr>
          <w:rFonts w:ascii="Arial" w:hAnsi="Arial" w:cs="Arial"/>
          <w:color w:val="000000"/>
          <w:sz w:val="20"/>
          <w:szCs w:val="20"/>
        </w:rPr>
        <w:t xml:space="preserve"> Поменути системи не могу наметати никаква додатна ограничења радионавигацијској сателитској служби (свемир-Земља) нити другим службама које раде у складу са Табелом. (WRC-07)</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RR 5.331 Додатна намена: у Алжиру, Немачкој, Саудијској Арабији, Аустралији, Аустрији, Бахреину, Белорусији, Белгији, Бенину, Босни и Херцеговини, Бразилу, Буркини Фасо, Бурундију, Камеруну, Кини, Републици Кореји, Хрватској, Данској, Египту, Уједињеним Арапским Емиратима, Естонији, Руској Федерацији, Финској, Француској, Гани, Грчкој, Гвинеји, Екваторијалној Гвинеји, Мађарској, Индији, Индонезији, Ирану, Ираку, Ирској, Израелу, Јордану, Кенији, Кувајту, Македонији, Лесоту, Летонији, Либану, Лихтенштајну, Литванији, Луксембургу, Мадагаскару, Малију, Мауританији, Црној Гори, Нигерији, Норвешкој, Оману, Пакистану, Холандији, Пољској, Португалији, Катару, Сирији, НДР Кореји, Словачкој, Уједињеном Краљевству, Србији, Словенији, Сомалији, Судану, Јужном Судану, Шри Ланци, Јужноафричкој Републици, Шведској, Швајцарској, Тајланду, Тогоу, Турској, Венецуели и Вијетнаму опсег 1215–1300 MHz је такође намењен радионавигацијској служби на примарној основи. </w:t>
      </w:r>
      <w:proofErr w:type="gramStart"/>
      <w:r w:rsidRPr="007E52B2">
        <w:rPr>
          <w:rFonts w:ascii="Arial" w:hAnsi="Arial" w:cs="Arial"/>
          <w:color w:val="000000"/>
          <w:sz w:val="20"/>
          <w:szCs w:val="20"/>
        </w:rPr>
        <w:t>У Канади и САД-у опсег 1240–1300 MHz је такође намењен радионавигацијској служби, и коришћење радионавигацијске службе ограничено је на ваздухопловну радио-навигацију.</w:t>
      </w:r>
      <w:proofErr w:type="gramEnd"/>
      <w:r w:rsidRPr="007E52B2">
        <w:rPr>
          <w:rFonts w:ascii="Arial" w:hAnsi="Arial" w:cs="Arial"/>
          <w:color w:val="000000"/>
          <w:sz w:val="20"/>
          <w:szCs w:val="20"/>
        </w:rPr>
        <w:t xml:space="preserve"> (WRC-12)</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5.332 У опсегу 1215–1260 МHz, активни сензори на свемирским летелицама у сателитској служби истраживања Земље и служби истраживања свемира не смеју да изазивају штетне сметње радиолокацијској служби, радионавигацијској сателитској служби и другим службама којима је опсег намењен на примарној основи, нити да захтевају заштиту од или да ограничавају рад или развој истих (WRC-2000)</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5.335A У опсегу 1260–1300 MHz активни сензори на свемирским летелицама у служби истраживања Земље сателитом и у служби истраживања свемира не смеју да изазивају штетне сметње радиолокацијској служби ни другим службама којима је опсег намењен на примарној основи одредбама члана 5.</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Правилника, нити да захтевају заштиту од истих, односно да ограничавају њихов рад и развој (WRC-2000).</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lastRenderedPageBreak/>
        <w:t>RR 5.337 Коришћење опсега: 1300–1350 МHz, 2700–2900 МHz и 9000–9200 МHz од стране ваздухопловне радио-навигациjске службе је ограничено на радаре на земљи и пратеће транспондере на летелицама који раде само на фреквенцијама из ових опсега и само кад су побуђени од радара који раде у истом опсегу.</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5.337A Земаљске станице у радионавигацијској сателитској служби и станице у радиолокацијској служби могу да користе опсег 1300-1350 MHz под условом да не изазивају штетне сметње ваздухопловној радионавигацијској служби, нити да захтевају заштиту од или на други начин ограничавају рад и развој истих. (WRC-2000)</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RR 5.338A У опсезима 1350–1400 MHz, 1427–1452 MHz, 22.55–23.55 GHz, 30–31.3 GHz, 49.7–50.2 GHz, 50.4–50.9 GHz, 51.4–52.6 GHz, 81–86 GHz and 92–94 GHz, примењује се Резолуција 750 (Rev WRC-15). </w:t>
      </w:r>
      <w:proofErr w:type="gramStart"/>
      <w:r w:rsidRPr="007E52B2">
        <w:rPr>
          <w:rFonts w:ascii="Arial" w:hAnsi="Arial" w:cs="Arial"/>
          <w:color w:val="000000"/>
          <w:sz w:val="20"/>
          <w:szCs w:val="20"/>
        </w:rPr>
        <w:t>(WRC-15).</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5.339 Опсези 1370–1400 МHz, 2640–2655 МHz, 4950–4990 МHz и 15.20–15.35 GHz су такође намењени за службу истраживања свемира (пасивна) и за сателитску службу за истраживање Земље (пасивна) на секундарној основи.</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5.340 Свака емисија је забрањена у следећим опсезима (према (WRC-03)):</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4485"/>
        <w:gridCol w:w="10365"/>
      </w:tblGrid>
      <w:tr w:rsidR="00D23D60" w:rsidRPr="007E52B2" w:rsidTr="00F943AF">
        <w:tc>
          <w:tcPr>
            <w:tcW w:w="1510"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1400–1427 МHz</w:t>
            </w:r>
          </w:p>
        </w:tc>
        <w:tc>
          <w:tcPr>
            <w:tcW w:w="3490"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p>
        </w:tc>
      </w:tr>
      <w:tr w:rsidR="00D23D60" w:rsidRPr="007E52B2" w:rsidTr="00F943AF">
        <w:tc>
          <w:tcPr>
            <w:tcW w:w="1510"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2690–2700 МHz</w:t>
            </w:r>
          </w:p>
        </w:tc>
        <w:tc>
          <w:tcPr>
            <w:tcW w:w="3490"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изузев оних према одредби тачке 5.422</w:t>
            </w:r>
          </w:p>
        </w:tc>
      </w:tr>
      <w:tr w:rsidR="00D23D60" w:rsidRPr="007E52B2" w:rsidTr="00F943AF">
        <w:tc>
          <w:tcPr>
            <w:tcW w:w="1510"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10.68–10.7 GHz</w:t>
            </w:r>
          </w:p>
        </w:tc>
        <w:tc>
          <w:tcPr>
            <w:tcW w:w="3490"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изузев оних према одредби тачке 5.483</w:t>
            </w:r>
          </w:p>
        </w:tc>
      </w:tr>
      <w:tr w:rsidR="00D23D60" w:rsidRPr="007E52B2" w:rsidTr="00F943AF">
        <w:tc>
          <w:tcPr>
            <w:tcW w:w="1510"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15.35–15.4 GHz</w:t>
            </w:r>
          </w:p>
        </w:tc>
        <w:tc>
          <w:tcPr>
            <w:tcW w:w="3490"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изузев оних према одредби тачке 5.511</w:t>
            </w:r>
          </w:p>
        </w:tc>
      </w:tr>
      <w:tr w:rsidR="00D23D60" w:rsidRPr="007E52B2" w:rsidTr="00F943AF">
        <w:tc>
          <w:tcPr>
            <w:tcW w:w="1510"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23.6–24 GHz</w:t>
            </w:r>
          </w:p>
        </w:tc>
        <w:tc>
          <w:tcPr>
            <w:tcW w:w="3490"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p>
        </w:tc>
      </w:tr>
      <w:tr w:rsidR="00D23D60" w:rsidRPr="007E52B2" w:rsidTr="00F943AF">
        <w:tc>
          <w:tcPr>
            <w:tcW w:w="1510"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31.3–31.5 GHz</w:t>
            </w:r>
          </w:p>
        </w:tc>
        <w:tc>
          <w:tcPr>
            <w:tcW w:w="3490"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p>
        </w:tc>
      </w:tr>
      <w:tr w:rsidR="00D23D60" w:rsidRPr="007E52B2" w:rsidTr="00F943AF">
        <w:tc>
          <w:tcPr>
            <w:tcW w:w="1510"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48.94–49.04 GHz</w:t>
            </w:r>
          </w:p>
        </w:tc>
        <w:tc>
          <w:tcPr>
            <w:tcW w:w="3490"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од станица на летелицама</w:t>
            </w:r>
          </w:p>
        </w:tc>
      </w:tr>
      <w:tr w:rsidR="00D23D60" w:rsidRPr="007E52B2" w:rsidTr="00F943AF">
        <w:tc>
          <w:tcPr>
            <w:tcW w:w="1510"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50.2–50.4 GHz</w:t>
            </w:r>
          </w:p>
        </w:tc>
        <w:tc>
          <w:tcPr>
            <w:tcW w:w="3490"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p>
        </w:tc>
      </w:tr>
      <w:tr w:rsidR="00D23D60" w:rsidRPr="007E52B2" w:rsidTr="00F943AF">
        <w:tc>
          <w:tcPr>
            <w:tcW w:w="1510"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52.6–54.25 GHz</w:t>
            </w:r>
          </w:p>
        </w:tc>
        <w:tc>
          <w:tcPr>
            <w:tcW w:w="3490"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p>
        </w:tc>
      </w:tr>
      <w:tr w:rsidR="00D23D60" w:rsidRPr="007E52B2" w:rsidTr="00F943AF">
        <w:tc>
          <w:tcPr>
            <w:tcW w:w="1510"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86–92 GHz</w:t>
            </w:r>
          </w:p>
        </w:tc>
        <w:tc>
          <w:tcPr>
            <w:tcW w:w="3490"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p>
        </w:tc>
      </w:tr>
      <w:tr w:rsidR="00D23D60" w:rsidRPr="007E52B2" w:rsidTr="00F943AF">
        <w:tc>
          <w:tcPr>
            <w:tcW w:w="1510"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100–102 GHz</w:t>
            </w:r>
          </w:p>
        </w:tc>
        <w:tc>
          <w:tcPr>
            <w:tcW w:w="3490"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p>
        </w:tc>
      </w:tr>
      <w:tr w:rsidR="00D23D60" w:rsidRPr="007E52B2" w:rsidTr="00F943AF">
        <w:tc>
          <w:tcPr>
            <w:tcW w:w="1510"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109.5–111.8 GHz</w:t>
            </w:r>
          </w:p>
        </w:tc>
        <w:tc>
          <w:tcPr>
            <w:tcW w:w="3490"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p>
        </w:tc>
      </w:tr>
      <w:tr w:rsidR="00D23D60" w:rsidRPr="007E52B2" w:rsidTr="00F943AF">
        <w:tc>
          <w:tcPr>
            <w:tcW w:w="1510"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114.25–116 GHz</w:t>
            </w:r>
          </w:p>
        </w:tc>
        <w:tc>
          <w:tcPr>
            <w:tcW w:w="3490"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p>
        </w:tc>
      </w:tr>
      <w:tr w:rsidR="00D23D60" w:rsidRPr="007E52B2" w:rsidTr="00F943AF">
        <w:tc>
          <w:tcPr>
            <w:tcW w:w="1510"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148.5–151.5 GHz</w:t>
            </w:r>
          </w:p>
        </w:tc>
        <w:tc>
          <w:tcPr>
            <w:tcW w:w="3490"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p>
        </w:tc>
      </w:tr>
      <w:tr w:rsidR="00D23D60" w:rsidRPr="007E52B2" w:rsidTr="00F943AF">
        <w:tc>
          <w:tcPr>
            <w:tcW w:w="1510"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164–167 GHz</w:t>
            </w:r>
          </w:p>
        </w:tc>
        <w:tc>
          <w:tcPr>
            <w:tcW w:w="3490"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p>
        </w:tc>
      </w:tr>
      <w:tr w:rsidR="00D23D60" w:rsidRPr="007E52B2" w:rsidTr="00F943AF">
        <w:tc>
          <w:tcPr>
            <w:tcW w:w="1510"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182–185 GHz</w:t>
            </w:r>
          </w:p>
        </w:tc>
        <w:tc>
          <w:tcPr>
            <w:tcW w:w="3490"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p>
        </w:tc>
      </w:tr>
      <w:tr w:rsidR="00D23D60" w:rsidRPr="007E52B2" w:rsidTr="00F943AF">
        <w:tc>
          <w:tcPr>
            <w:tcW w:w="1510"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190–191.8 GHz</w:t>
            </w:r>
          </w:p>
        </w:tc>
        <w:tc>
          <w:tcPr>
            <w:tcW w:w="3490"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p>
        </w:tc>
      </w:tr>
      <w:tr w:rsidR="00D23D60" w:rsidRPr="007E52B2" w:rsidTr="00F943AF">
        <w:tc>
          <w:tcPr>
            <w:tcW w:w="1510"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200–209 GHz</w:t>
            </w:r>
          </w:p>
        </w:tc>
        <w:tc>
          <w:tcPr>
            <w:tcW w:w="3490"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p>
        </w:tc>
      </w:tr>
      <w:tr w:rsidR="00D23D60" w:rsidRPr="007E52B2" w:rsidTr="00F943AF">
        <w:tc>
          <w:tcPr>
            <w:tcW w:w="1510"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226–231.5 GHz</w:t>
            </w:r>
          </w:p>
        </w:tc>
        <w:tc>
          <w:tcPr>
            <w:tcW w:w="3490"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p>
        </w:tc>
      </w:tr>
      <w:tr w:rsidR="00D23D60" w:rsidRPr="007E52B2" w:rsidTr="00F943AF">
        <w:tc>
          <w:tcPr>
            <w:tcW w:w="1510"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250–252 GHz</w:t>
            </w:r>
          </w:p>
        </w:tc>
        <w:tc>
          <w:tcPr>
            <w:tcW w:w="3490"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p>
        </w:tc>
      </w:tr>
    </w:tbl>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5.341 У опсезима 1400–1727 МHz, 101–120 GHz и 197–220 GHz неке земље спроводе пасивна истраживања у оквиру програма откривања намерних емисија неземаљског порекла.</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5.345 Коришћење опсега 1452–1492 МHz за потребе радиодифузне сателитске службе и радиодифузне службе је ограничено на дигиталну звучну радио-дифузију и регулисано је одредбама Резолуције 528 (WARC – 92).* *Напомена: Резолуција је ревидирана на WRC-03.</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RR 5.348 Коришћење опсега 1518–1525 MHz од стране мобилне-сателитске службе подлеже координацији у складу са одредбом тачке 9.11A Правилника. У опсегу 1518–1525 MHz станице у мобилној сателитској служби не могу да захтевају заштиту од станица у фиксној служби. </w:t>
      </w:r>
      <w:proofErr w:type="gramStart"/>
      <w:r w:rsidRPr="007E52B2">
        <w:rPr>
          <w:rFonts w:ascii="Arial" w:hAnsi="Arial" w:cs="Arial"/>
          <w:color w:val="000000"/>
          <w:sz w:val="20"/>
          <w:szCs w:val="20"/>
        </w:rPr>
        <w:t>Одредба тачке 5.43A Правилника се не примењује.</w:t>
      </w:r>
      <w:proofErr w:type="gramEnd"/>
      <w:r w:rsidRPr="007E52B2">
        <w:rPr>
          <w:rFonts w:ascii="Arial" w:hAnsi="Arial" w:cs="Arial"/>
          <w:color w:val="000000"/>
          <w:sz w:val="20"/>
          <w:szCs w:val="20"/>
        </w:rPr>
        <w:t xml:space="preserve"> (WRC-03)</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RR 5.351 Опсези 1525–1544 МHz, 1545–1559 МHz, 1626.5–1645.5 МHz и 1646.5–1660.5 МHz не могу да се користе за спојне везе ни у једној служби. </w:t>
      </w:r>
      <w:proofErr w:type="gramStart"/>
      <w:r w:rsidRPr="007E52B2">
        <w:rPr>
          <w:rFonts w:ascii="Arial" w:hAnsi="Arial" w:cs="Arial"/>
          <w:color w:val="000000"/>
          <w:sz w:val="20"/>
          <w:szCs w:val="20"/>
        </w:rPr>
        <w:t>Међутим, у изузетним околностима, администрација може да дозволи земаљској станици у одређеној фиксној тачки, у било којој мобилној сателитској служби, да комуницира преко свемирске станице у овим опсезима.</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5.351A За коришћење опсега 1518–1544 MHz, 1545–1559 MHz, 1610–1626.5 MHz, 1626.5–1645.5 MHz, 1646.5–1660.5 MHz, 1668–1675 MHz, 1980–2010 MHz, 2170–2200 MHz, 2483.5–2500 MHz, 2500–2520 MHz и 2670–2690 MHz за мобилну сателитску службу погледати Резолуције 212 (Rev. WRC-07) и 225 (Rev. WRC-07). (WRC-07)</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lastRenderedPageBreak/>
        <w:t>RR 5.353A Приликом примене процедуре из Одељка II члан 9.</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Правилника за мобилну сателитску службу у опсезима 1530–1544 МHz и 1626.5–1645.5 МHz приоритет се даје потребама за спектром које имају комуникације за случај опасности, хитности и због безбедности у оквиру Светског поморског система за опасност и безбедност (GMDSS).</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Поморске мобилне сателитске комуникације у сврхе опасности, хитности и безбедности имају приоритетни приступ и расположивост капацитета у односу на све друге мобилне сателитске комуникације у датој мрежи.</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Мобилни-сателитски системи не смеју да изазивају неприхватљиве сметње комуникацијама у сврхе опасности, хитности и безбедности у оквиру GMDSS система, нити да захтевају заштиту од истих.</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У обзир се узима и приоритет који имају комуникације у сврхе безбедности осталих мобилних сателитских служби.</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примењују</w:t>
      </w:r>
      <w:proofErr w:type="gramEnd"/>
      <w:r w:rsidRPr="007E52B2">
        <w:rPr>
          <w:rFonts w:ascii="Arial" w:hAnsi="Arial" w:cs="Arial"/>
          <w:color w:val="000000"/>
          <w:sz w:val="20"/>
          <w:szCs w:val="20"/>
        </w:rPr>
        <w:t xml:space="preserve"> се одредбе из Резолуције 222 (WRC-2000)).</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5.354 Коришћење опсега 1525–1559 MHz и 1626.5–1660.5 MHz за мобилне сателитске службе подлеже примени процедуре координације сагласно са одредбом тачке 9.11А Правилника.</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5.356 Коришћење опсега 1544–1545 МHz за мобилну сателитску службу (свемир-Земља) је ограничено на комуникације у сврхе опасности и безбедности (видети члан 31.</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Правилника).</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5.357 Пренос сигнала у опсегу 1545–1555 МHz од терестричких ваздухопловних станица директно до станица на ваздухопловима, или између станица на ваздухопловима, у ваздухопловној мобилној (R) служби су дозвољене када се такве емисије користе за проширене или додатне везе сателит-ваздухоплов.</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5.357A Приликом примене процедуре из Одељка II члан 9.</w:t>
      </w:r>
      <w:proofErr w:type="gramEnd"/>
      <w:r w:rsidRPr="007E52B2">
        <w:rPr>
          <w:rFonts w:ascii="Arial" w:hAnsi="Arial" w:cs="Arial"/>
          <w:color w:val="000000"/>
          <w:sz w:val="20"/>
          <w:szCs w:val="20"/>
        </w:rPr>
        <w:t xml:space="preserve"> на мобилну сателитску службу у опсезима 1545–1555 МHz и 1646.5–1656.5 МHz приоритет се даје потребама за спектром које има ваздухопловна мобилна сателитска (R) служба за пренос порука са приоритетима 1 до 6 из члана 44. Комуникације ваздухопловне мобилне сателитске (R) службе са приоритетима 1 до 6 из члана 44 имају приоритетни приступ и расположивост капацитета, односно право првенства, у односу на све друге мобилне сателитске комуникације у датој мрежи. Мобилни-сателитски системи не смеју да изазивају неприхватљиве сметње комуникацијама ваздухопловне мобилне сателитске (R) службе са приоритетима 1 до 6 из члана 44, нити да захтевају заштиту од истих. </w:t>
      </w:r>
      <w:proofErr w:type="gramStart"/>
      <w:r w:rsidRPr="007E52B2">
        <w:rPr>
          <w:rFonts w:ascii="Arial" w:hAnsi="Arial" w:cs="Arial"/>
          <w:color w:val="000000"/>
          <w:sz w:val="20"/>
          <w:szCs w:val="20"/>
        </w:rPr>
        <w:t>У обзир се узима и приоритет који имају комуникације у сврхе безбедности осталих мобилних сателитских служби (примењују се одредбе из Резолуције 222 (Rev. WRC-12)).</w:t>
      </w:r>
      <w:proofErr w:type="gramEnd"/>
      <w:r w:rsidRPr="007E52B2">
        <w:rPr>
          <w:rFonts w:ascii="Arial" w:hAnsi="Arial" w:cs="Arial"/>
          <w:color w:val="000000"/>
          <w:sz w:val="20"/>
          <w:szCs w:val="20"/>
        </w:rPr>
        <w:t xml:space="preserve"> (WRC-12)</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RR 5.364 Коришћење опсега 1610–1626.5 МHz за мобилну сателитску службу (Земља-свемир) и за радиодетерминацијску сателитску службу (Земља-свемир), подлеже координацији у складу са тачком 9.11A Правилника. Мобилна земаљска станица која ради у било којој од две службе у овом опсегу не сме да производи густину еквивалентне изотропне израчене снаге већу од –15 dB(W/4 kHz) у делу опсега који користе системи који раде у складу са одредбом тачке 5.366 Правилника (на коју се примењује одредба тачке 4.10 Правилника), осим у случају другачијег договора са угроженим администрацијама. У делу опсега где такви системи не раде, средња густина e.i.r.p. мобилне земаљске станице не сме да буде већа од –3 </w:t>
      </w:r>
      <w:proofErr w:type="gramStart"/>
      <w:r w:rsidRPr="007E52B2">
        <w:rPr>
          <w:rFonts w:ascii="Arial" w:hAnsi="Arial" w:cs="Arial"/>
          <w:color w:val="000000"/>
          <w:sz w:val="20"/>
          <w:szCs w:val="20"/>
        </w:rPr>
        <w:t>dB(</w:t>
      </w:r>
      <w:proofErr w:type="gramEnd"/>
      <w:r w:rsidRPr="007E52B2">
        <w:rPr>
          <w:rFonts w:ascii="Arial" w:hAnsi="Arial" w:cs="Arial"/>
          <w:color w:val="000000"/>
          <w:sz w:val="20"/>
          <w:szCs w:val="20"/>
        </w:rPr>
        <w:t>W/4 kHz). Станице мобилне сателитске службе не могу да захтевају заштиту од станица у ваздухопловној радионавигацијској служби, станица које раде у складу са одредбом тачке 5.366 Правилника и станица у фиксној служби које раде у складу са одредбом тачке 5.359 Правилника. Администрације које су одговорне за координацију мобилних сателитских мрежа дужне су да уложе максималан напор да обезбеде заштиту станицама које раде сагласно са одредбама тачке 5.366 Правилника.</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5.365 Коришћење опсега 1613.8–1626.5 МHz за мобилну сателитску службу (свемир–Земља) подлеже координацији сагласно одредби тачке 9.11A Правилника.</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5.366 Опсег 1610–1626.5 МHz је на глобалном нивоу резервисан за коришћење и развој помоћних електронских уређаја на летелицама који се користе за ваздухопловну навигацију и за све пратеће уређаје на земљи или сателиту.</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Такво коришћење сателита подлеже закључивању споразума у складу са одредбом тачке 9.21 Правилника.</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5.368 Одредбе тачке 4.10 Правилника не примењују се у опсегу 1610–1626.5 МHz на радиодетерминацијску сателитску и мобилну сателитску службу, изузимајући ваздухопловну радионавигациону-сателитску службу.</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5.372 Станице радиодетерминацијске сателитске службе и мобилне сателитске службе не смеју да изазивају штетне сметње станицама радио-астрономске службе које користе опсег 1610.6-1613.8 МHz (примењује се тачка 29.13 Правилника).</w:t>
      </w:r>
      <w:proofErr w:type="gramEnd"/>
      <w:r w:rsidRPr="007E52B2">
        <w:rPr>
          <w:rFonts w:ascii="Arial" w:hAnsi="Arial" w:cs="Arial"/>
          <w:color w:val="000000"/>
          <w:sz w:val="20"/>
          <w:szCs w:val="20"/>
        </w:rPr>
        <w:t xml:space="preserve"> RR 5.373 Поморске мобилне станице на Земљи које примају у опсегу 1621.35–1626.5 MHz неће наметати додатна ограничења према станицама на Земљи које раде у поморској мобилној сателитској служби или поморским станицама на Земљи радиодетерминацијске сателитске службе које раде у складу са Правилником у фреквенцијском опсегу 1610–1621.35 MHz или станицама на Земљи које раде у поморској мобилној сателитској служби које раде у складу са Правилником у фреквенцијском опсегу 1626.5–1660.5 MHz, осим ако није другачије договорено између заинтересованих администрација. (WRC-19)RR 5.373A Поморске мобилне станице на Земљи које примају у опсегу 1621.35–1626.5 MHz неће наметати ограничења према доделама станицама на Земљи у мобилној сателитској служби (Земља-свемир) и радиодетерминацијској сателитској служби (Земља-свемир) у фреквенцијском опсегу 1621,35–1626,5 MHz у мрежама за које је комплетна информација о координацији примљена од стране Бироа пре 28. </w:t>
      </w:r>
      <w:proofErr w:type="gramStart"/>
      <w:r w:rsidRPr="007E52B2">
        <w:rPr>
          <w:rFonts w:ascii="Arial" w:hAnsi="Arial" w:cs="Arial"/>
          <w:color w:val="000000"/>
          <w:sz w:val="20"/>
          <w:szCs w:val="20"/>
        </w:rPr>
        <w:t>октобра</w:t>
      </w:r>
      <w:proofErr w:type="gramEnd"/>
      <w:r w:rsidRPr="007E52B2">
        <w:rPr>
          <w:rFonts w:ascii="Arial" w:hAnsi="Arial" w:cs="Arial"/>
          <w:color w:val="000000"/>
          <w:sz w:val="20"/>
          <w:szCs w:val="20"/>
        </w:rPr>
        <w:t xml:space="preserve"> 2019. </w:t>
      </w:r>
      <w:proofErr w:type="gramStart"/>
      <w:r w:rsidRPr="007E52B2">
        <w:rPr>
          <w:rFonts w:ascii="Arial" w:hAnsi="Arial" w:cs="Arial"/>
          <w:color w:val="000000"/>
          <w:sz w:val="20"/>
          <w:szCs w:val="20"/>
        </w:rPr>
        <w:t>године</w:t>
      </w:r>
      <w:proofErr w:type="gramEnd"/>
      <w:r w:rsidRPr="007E52B2">
        <w:rPr>
          <w:rFonts w:ascii="Arial" w:hAnsi="Arial" w:cs="Arial"/>
          <w:color w:val="000000"/>
          <w:sz w:val="20"/>
          <w:szCs w:val="20"/>
        </w:rPr>
        <w:t>. (WRC-19)</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5.376A Мобилне земаљске станице које раде у опсегу 1660–1660.5 МHz не смеју да изазивају штетне сметње станицама у радио-астрономској служби.</w:t>
      </w:r>
      <w:proofErr w:type="gramEnd"/>
      <w:r w:rsidRPr="007E52B2">
        <w:rPr>
          <w:rFonts w:ascii="Arial" w:hAnsi="Arial" w:cs="Arial"/>
          <w:color w:val="000000"/>
          <w:sz w:val="20"/>
          <w:szCs w:val="20"/>
        </w:rPr>
        <w:t xml:space="preserve"> (WRC-97)</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lastRenderedPageBreak/>
        <w:t>RR 5.379A Од администрација се захтева да пруже максималну заштиту у опсегу 1660.5–1668.4 МHz за будућа истраживања у радио астрономији, нарочито елиминишући пренос сигнала ваздух-Земља у служби метеоролошких помоћних средстава у опсегу 1664.4–1668.4 МHz у најкраћем року.</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5.379B Коришћење опсега 1668–1675 MHz од стране мобилне сателитске службе је предмет координације према члану 9.11A Правилника. У опсегу 1668–1668.4 MHz примењује се Резолуција 904 (WRC-07).</w:t>
      </w:r>
      <w:proofErr w:type="gramEnd"/>
      <w:r w:rsidRPr="007E52B2">
        <w:rPr>
          <w:rFonts w:ascii="Arial" w:hAnsi="Arial" w:cs="Arial"/>
          <w:color w:val="000000"/>
          <w:sz w:val="20"/>
          <w:szCs w:val="20"/>
        </w:rPr>
        <w:t xml:space="preserve"> (WRC-07)</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RR 5.379C У циљу заштите радио-астрономске службе у опсегу 1668–1670 MHz, укупна густина флукса снаге која потиче од мобилних земаљских станица у мрежи мобилне сателитске службе која ради у овом опсегу не сме да буде већа од –181 </w:t>
      </w:r>
      <w:proofErr w:type="gramStart"/>
      <w:r w:rsidRPr="007E52B2">
        <w:rPr>
          <w:rFonts w:ascii="Arial" w:hAnsi="Arial" w:cs="Arial"/>
          <w:color w:val="000000"/>
          <w:sz w:val="20"/>
          <w:szCs w:val="20"/>
        </w:rPr>
        <w:t>dB(</w:t>
      </w:r>
      <w:proofErr w:type="gramEnd"/>
      <w:r w:rsidRPr="007E52B2">
        <w:rPr>
          <w:rFonts w:ascii="Arial" w:hAnsi="Arial" w:cs="Arial"/>
          <w:color w:val="000000"/>
          <w:sz w:val="20"/>
          <w:szCs w:val="20"/>
        </w:rPr>
        <w:t>W/m</w:t>
      </w:r>
      <w:r w:rsidRPr="007E52B2">
        <w:rPr>
          <w:rFonts w:ascii="Arial" w:hAnsi="Arial" w:cs="Arial"/>
          <w:color w:val="000000"/>
          <w:sz w:val="20"/>
          <w:szCs w:val="20"/>
          <w:vertAlign w:val="superscript"/>
        </w:rPr>
        <w:t>2</w:t>
      </w:r>
      <w:r w:rsidRPr="007E52B2">
        <w:rPr>
          <w:rFonts w:ascii="Arial" w:hAnsi="Arial" w:cs="Arial"/>
          <w:color w:val="000000"/>
          <w:sz w:val="20"/>
          <w:szCs w:val="20"/>
        </w:rPr>
        <w:t>) у 10 MHz и 194 dB(W/m</w:t>
      </w:r>
      <w:r w:rsidRPr="007E52B2">
        <w:rPr>
          <w:rFonts w:ascii="Arial" w:hAnsi="Arial" w:cs="Arial"/>
          <w:color w:val="000000"/>
          <w:sz w:val="20"/>
          <w:szCs w:val="20"/>
          <w:vertAlign w:val="superscript"/>
        </w:rPr>
        <w:t>2</w:t>
      </w:r>
      <w:r w:rsidRPr="007E52B2">
        <w:rPr>
          <w:rFonts w:ascii="Arial" w:hAnsi="Arial" w:cs="Arial"/>
          <w:color w:val="000000"/>
          <w:sz w:val="20"/>
          <w:szCs w:val="20"/>
        </w:rPr>
        <w:t>) у 20 kHz за више од 2% интеграционог периода од 2000 s, код радио-астрономске станица која су уписане у Главни међународни регистар фреквенција (Master International Frequency Register-МIFR). (WRC-03)</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5.379D Код заједничког коришћења опсега 1668.4–1675 MHz за мобилну сателитску службу и фиксну и мобилну службу примењује се Резолуција 744 (Rev.WRC-07).</w:t>
      </w:r>
      <w:proofErr w:type="gramEnd"/>
      <w:r w:rsidRPr="007E52B2">
        <w:rPr>
          <w:rFonts w:ascii="Arial" w:hAnsi="Arial" w:cs="Arial"/>
          <w:color w:val="000000"/>
          <w:sz w:val="20"/>
          <w:szCs w:val="20"/>
        </w:rPr>
        <w:t xml:space="preserve"> (WRC-07)</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5.380A У опсегу 1670–1675 MHz станице у мобилној сателитској служби не би требало да изазивају штетне сметње или да ограниче развој постојећим земаљским станицама у метеоролошкој-сателитској служби које су нотификоване пре 1.</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јануара</w:t>
      </w:r>
      <w:proofErr w:type="gramEnd"/>
      <w:r w:rsidRPr="007E52B2">
        <w:rPr>
          <w:rFonts w:ascii="Arial" w:hAnsi="Arial" w:cs="Arial"/>
          <w:color w:val="000000"/>
          <w:sz w:val="20"/>
          <w:szCs w:val="20"/>
        </w:rPr>
        <w:t xml:space="preserve"> 2004. </w:t>
      </w:r>
      <w:proofErr w:type="gramStart"/>
      <w:r w:rsidRPr="007E52B2">
        <w:rPr>
          <w:rFonts w:ascii="Arial" w:hAnsi="Arial" w:cs="Arial"/>
          <w:color w:val="000000"/>
          <w:sz w:val="20"/>
          <w:szCs w:val="20"/>
        </w:rPr>
        <w:t>године</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Свака нова додела земаљским станицама у овом опсегу треба да буде заштићена од штетних сметњи од станица у мобилној сателитској служби.</w:t>
      </w:r>
      <w:proofErr w:type="gramEnd"/>
      <w:r w:rsidRPr="007E52B2">
        <w:rPr>
          <w:rFonts w:ascii="Arial" w:hAnsi="Arial" w:cs="Arial"/>
          <w:color w:val="000000"/>
          <w:sz w:val="20"/>
          <w:szCs w:val="20"/>
        </w:rPr>
        <w:t xml:space="preserve"> (WRC-07)</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5.384A Опсези, или делови опсега 1710–1885 MHz, 2300–2400 MHz и 2500–2690 MHz су препознати као опсези за увођење IMT (International Mobile Telecommunications) у складу са Резолуцијом 223 (Rev. WRC-15).Ово не искључује коришћење датих опсега од стране других служби којима је опсег намењен и не утврђује приоритет у Правилнику. (WRC-15)</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5.388 Опсези 1885–2025 МHz и 2110–2200 МHz предвиђени су, на глобалном нивоу, за увођење IMT (International Mobile Telecommunications).</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Ово не искључује коришћење датих опсега од стране служби којима су они намењени.</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Опсези ће бити расположиви за IMT сагласно са Резолуцијом 212 (Rev.WRC-15).</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(Видети такође Резолуцију 223 (Rev.WRC-15)).</w:t>
      </w:r>
      <w:proofErr w:type="gramEnd"/>
      <w:r w:rsidRPr="007E52B2">
        <w:rPr>
          <w:rFonts w:ascii="Arial" w:hAnsi="Arial" w:cs="Arial"/>
          <w:color w:val="000000"/>
          <w:sz w:val="20"/>
          <w:szCs w:val="20"/>
        </w:rPr>
        <w:t xml:space="preserve"> (WRC-15)</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5.388A У Регионима 1 и 3, опсези 1885–1980 MHz, 2010–2025 MHz и 2110–2170 MHz, и у Региону 2, опсези 1885–1980 MHz и 2110–2160 MHz се могу користити од стране станица на платформама на великим висинама (HAPS), и то као базнe станице за IMT (International Mobile Telecommunications), у складу са Резолуцијом 221 (Rev.WRC 07). Употреба ових опсега за IMT уз помоћ HAPS као базних станица не искључује коришћење ових опсега од стране било које станице у оквиру служби којима су опсези додељени и не утврђује приоритет у Правилнику. (WRC-12)</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5.389A Коришћење опсега 1980–2010 МHz и 2170–2200 МHz од стране мобилне сателитске службе подлеже координацији сагласно са одредбом тачке 9.11A Правилника и са одредбама Резолуције 716 (Rev.WRC-2000).</w:t>
      </w:r>
      <w:proofErr w:type="gramEnd"/>
      <w:r w:rsidRPr="007E52B2">
        <w:rPr>
          <w:rFonts w:ascii="Arial" w:hAnsi="Arial" w:cs="Arial"/>
          <w:color w:val="000000"/>
          <w:sz w:val="20"/>
          <w:szCs w:val="20"/>
        </w:rPr>
        <w:t xml:space="preserve"> (WRC-07)</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5.391 Приликом додељивања фреквенција станицама у мобилној служби у опсезима 2025–2110 МHz и 2200–2290 МHz, администрације не смеју да уводе мобилне системе са густо распоређеним станицама, у складу са препоруком ITU-R SA.1154–0, и морају узети у обзир ову препоруку приликом увођења мобилних система било које врсте.</w:t>
      </w:r>
      <w:proofErr w:type="gramEnd"/>
      <w:r w:rsidRPr="007E52B2">
        <w:rPr>
          <w:rFonts w:ascii="Arial" w:hAnsi="Arial" w:cs="Arial"/>
          <w:color w:val="000000"/>
          <w:sz w:val="20"/>
          <w:szCs w:val="20"/>
        </w:rPr>
        <w:t xml:space="preserve"> (WRC-15)</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5.392 Администрацијама се саветује да предузму све могуће мере да обезбеде да преноси свемир-свемир између два или више не-геостационарних сателита, у службама истраживања свемира, свемирских операција и сателитске службе истраживања Земље у опсезима 2025–2110 MHz и 2200–2290 MHz, не ограничавају пренос Земља-свемир, свемир-Земља и остале свемир-свемир преносе ових служби у поменутим опсезима између геостационарних и не-геостационарних сателита.</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5.402 Коришћење опсега 2483.5–2500 МHz за сателитску мобилну и сателитску радиодетерминацијску службу подлеже координацији сагласно одредби тачке 9.11А Правилника. Од администрација се захтева да предузму максималне мере да спрече штетне сметње радио-астрономској служби од емисија у опсегу 2483.5–2500 МHz, а посебно од другог хармоника који пада у опсег 4990–5000 МHz који је на глобалном нивоу намењен радио-астрономској служби.</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RR 5.418B Коришћење опсега 2630–2655 МHz од стране не-геостационарних сателитских система у радиодифузној сателитској служби (звук), сходно одредби тачке 5.418 Правилника, за које je информација о завршеној координацији у складу са Додатком 4 или информација о нотификацији достављена после 2. </w:t>
      </w:r>
      <w:proofErr w:type="gramStart"/>
      <w:r w:rsidRPr="007E52B2">
        <w:rPr>
          <w:rFonts w:ascii="Arial" w:hAnsi="Arial" w:cs="Arial"/>
          <w:color w:val="000000"/>
          <w:sz w:val="20"/>
          <w:szCs w:val="20"/>
        </w:rPr>
        <w:t>јуна</w:t>
      </w:r>
      <w:proofErr w:type="gramEnd"/>
      <w:r w:rsidRPr="007E52B2">
        <w:rPr>
          <w:rFonts w:ascii="Arial" w:hAnsi="Arial" w:cs="Arial"/>
          <w:color w:val="000000"/>
          <w:sz w:val="20"/>
          <w:szCs w:val="20"/>
        </w:rPr>
        <w:t xml:space="preserve"> 2000. </w:t>
      </w:r>
      <w:proofErr w:type="gramStart"/>
      <w:r w:rsidRPr="007E52B2">
        <w:rPr>
          <w:rFonts w:ascii="Arial" w:hAnsi="Arial" w:cs="Arial"/>
          <w:color w:val="000000"/>
          <w:sz w:val="20"/>
          <w:szCs w:val="20"/>
        </w:rPr>
        <w:t>подлеже</w:t>
      </w:r>
      <w:proofErr w:type="gramEnd"/>
      <w:r w:rsidRPr="007E52B2">
        <w:rPr>
          <w:rFonts w:ascii="Arial" w:hAnsi="Arial" w:cs="Arial"/>
          <w:color w:val="000000"/>
          <w:sz w:val="20"/>
          <w:szCs w:val="20"/>
        </w:rPr>
        <w:t xml:space="preserve"> примени одредаба тачке 9.12 Правилника (WRC-03).</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5.418C Коришћење опсега 2630–2655 MHz од стране геостационарних-сателитских мрежа за које за које je информација о завршеној координацији у складу са Додатком 4 или информација о нотификацији достављена после 2.</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јуна</w:t>
      </w:r>
      <w:proofErr w:type="gramEnd"/>
      <w:r w:rsidRPr="007E52B2">
        <w:rPr>
          <w:rFonts w:ascii="Arial" w:hAnsi="Arial" w:cs="Arial"/>
          <w:color w:val="000000"/>
          <w:sz w:val="20"/>
          <w:szCs w:val="20"/>
        </w:rPr>
        <w:t xml:space="preserve"> 2000. подлеже примени одредаба тачке 9.13 Правилника узимајући у обзир не-геостационарне-сателитске системе у радиодифузној сателитској служби (звук), сходно одредби тачке 5.418 Правилника, док се одредба тачке 22.2 Правилника не примењује. </w:t>
      </w:r>
      <w:proofErr w:type="gramStart"/>
      <w:r w:rsidRPr="007E52B2">
        <w:rPr>
          <w:rFonts w:ascii="Arial" w:hAnsi="Arial" w:cs="Arial"/>
          <w:color w:val="000000"/>
          <w:sz w:val="20"/>
          <w:szCs w:val="20"/>
        </w:rPr>
        <w:t>(WRC-03).</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5.423 Опсег 2700–2900 МHz користе земаљски радари у метеоролошке сврхе и раде на једнакој основи са станицама ваздухопловне радионавигацијске службе.</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5.424A У опсегу 2900–3100 MHz станице у радиолокацијској служби не смеју да изазивају штетне сметње радарским системима у радионавигацијској служби нити да захтевају заштиту од истих.</w:t>
      </w:r>
      <w:proofErr w:type="gramEnd"/>
      <w:r w:rsidRPr="007E52B2">
        <w:rPr>
          <w:rFonts w:ascii="Arial" w:hAnsi="Arial" w:cs="Arial"/>
          <w:color w:val="000000"/>
          <w:sz w:val="20"/>
          <w:szCs w:val="20"/>
        </w:rPr>
        <w:t xml:space="preserve"> (WRC-03)</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5.425 У опсегу 2900–3100 МHz коришћење система бродских интерогатор транспондера (SIT) ограничено је на подопсег: 2930-2950 МHz.</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lastRenderedPageBreak/>
        <w:t>RR 5.426 Коришћење опсега 2900–3100 МHz од стране ваздухопловне радионавигацијске службе је ограничено на земаљске радаре.</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5.427 У опсезима 2900–3100 МHz и 9300–9500 МHz, одзиви од радарских транспондера треба да буду имуни на одзиве од радарских станица радио-фарова (</w:t>
      </w:r>
      <w:r w:rsidRPr="007E52B2">
        <w:rPr>
          <w:rFonts w:ascii="Arial" w:hAnsi="Arial" w:cs="Arial"/>
          <w:i/>
          <w:iCs/>
          <w:color w:val="000000"/>
          <w:sz w:val="20"/>
          <w:szCs w:val="20"/>
        </w:rPr>
        <w:t>racons</w:t>
      </w:r>
      <w:r w:rsidRPr="007E52B2">
        <w:rPr>
          <w:rFonts w:ascii="Arial" w:hAnsi="Arial" w:cs="Arial"/>
          <w:color w:val="000000"/>
          <w:sz w:val="20"/>
          <w:szCs w:val="20"/>
        </w:rPr>
        <w:t>) и не смеју да изазивају штетне сметње бродским и ваздухопловним радарима у радионавигацијској служби имајући у виду одредбу тачке.</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4.9 Правилника.</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5.430A Намена опсега 3400–3600 МHz мобилној служби, изузев ваздухопловне мобилне службе, подлеже закључивању споразума у складу са одредбом тачке 9.21 Правилника. Овај опсег је одређен за IMT.</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Ово не искључује коришћење датог опсега за било коју другу примену у службама којима је опсег намењен и не утврђује приоритет у Правилнику. Приликом координације се такође примењују одредбе тачака 9.17 и 9.18.</w:t>
      </w:r>
      <w:proofErr w:type="gramEnd"/>
      <w:r w:rsidRPr="007E52B2">
        <w:rPr>
          <w:rFonts w:ascii="Arial" w:hAnsi="Arial" w:cs="Arial"/>
          <w:color w:val="000000"/>
          <w:sz w:val="20"/>
          <w:szCs w:val="20"/>
        </w:rPr>
        <w:t xml:space="preserve"> Пре него што администрација пусти у рад (базну или мобилну) станицу у мобилној служби у овом опсегу, дужна је да обезбеди да густина флукса снаге (pfd) на 3 m изнад земље није већа од –154</w:t>
      </w:r>
      <w:proofErr w:type="gramStart"/>
      <w:r w:rsidRPr="007E52B2">
        <w:rPr>
          <w:rFonts w:ascii="Arial" w:hAnsi="Arial" w:cs="Arial"/>
          <w:color w:val="000000"/>
          <w:sz w:val="20"/>
          <w:szCs w:val="20"/>
        </w:rPr>
        <w:t>,5</w:t>
      </w:r>
      <w:proofErr w:type="gramEnd"/>
      <w:r w:rsidRPr="007E52B2">
        <w:rPr>
          <w:rFonts w:ascii="Arial" w:hAnsi="Arial" w:cs="Arial"/>
          <w:color w:val="000000"/>
          <w:sz w:val="20"/>
          <w:szCs w:val="20"/>
        </w:rPr>
        <w:t xml:space="preserve"> dBW/(m</w:t>
      </w:r>
      <w:r w:rsidRPr="007E52B2">
        <w:rPr>
          <w:rFonts w:ascii="Arial" w:hAnsi="Arial" w:cs="Arial"/>
          <w:color w:val="000000"/>
          <w:sz w:val="20"/>
          <w:szCs w:val="20"/>
          <w:vertAlign w:val="superscript"/>
        </w:rPr>
        <w:t>2 .</w:t>
      </w:r>
      <w:r w:rsidRPr="007E52B2">
        <w:rPr>
          <w:rFonts w:ascii="Arial" w:hAnsi="Arial" w:cs="Arial"/>
          <w:color w:val="000000"/>
          <w:sz w:val="20"/>
          <w:szCs w:val="20"/>
        </w:rPr>
        <w:t xml:space="preserve"> 4 kHz) више од 20 процената времена на граници са територијом било које друге администрације. </w:t>
      </w:r>
      <w:proofErr w:type="gramStart"/>
      <w:r w:rsidRPr="007E52B2">
        <w:rPr>
          <w:rFonts w:ascii="Arial" w:hAnsi="Arial" w:cs="Arial"/>
          <w:color w:val="000000"/>
          <w:sz w:val="20"/>
          <w:szCs w:val="20"/>
        </w:rPr>
        <w:t>Ова гранична вредност може бити превазиђена на територији земље чија је администрација са тим сагласна.</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У циљу да се обезбеди да се ограничење pfd на граници са територијом свих других администрација поштује, обављају се прорачуни и верификација, узимајући у обзир све релевантне информације, уз сагласност обе администрације (администрације одговорне за терестричку станицу и администрације одговорне за земаљску станицу), уз помоћ Бироа за радио-комуникације, уколико је потребно.</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У случају неслагања, прорачуне и верификације pfd-а обавља Биро за радио-комуникације, узимајући у обзир горенаведене информације.</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Станице у мобилној служби у опсегу 3400–3600 МHz не могу да захтевају заштиту од свемирских станица која је већа од оне наведене у Табели 21-4 Правилника (Издање 2004).</w:t>
      </w:r>
      <w:proofErr w:type="gramEnd"/>
      <w:r w:rsidRPr="007E52B2">
        <w:rPr>
          <w:rFonts w:ascii="Arial" w:hAnsi="Arial" w:cs="Arial"/>
          <w:color w:val="000000"/>
          <w:sz w:val="20"/>
          <w:szCs w:val="20"/>
        </w:rPr>
        <w:t xml:space="preserve"> (WRC-15)</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5.436 Коришћење фреквенцијског опсега 4200–4400 MHz од стране станица ваздухопловне мобилне (R) службе је резервисано искључиво за WAIC (wireless avionics intra-communication) системе који раде у складу са признатим међународним ваздухопловним стандардима.</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Ова употреба мора да буде у складу са Резолуцијом 424 (WRC-15).</w:t>
      </w:r>
      <w:proofErr w:type="gramEnd"/>
      <w:r w:rsidRPr="007E52B2">
        <w:rPr>
          <w:rFonts w:ascii="Arial" w:hAnsi="Arial" w:cs="Arial"/>
          <w:color w:val="000000"/>
          <w:sz w:val="20"/>
          <w:szCs w:val="20"/>
        </w:rPr>
        <w:t xml:space="preserve"> (WRC-15)</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5.437 Пасивно испитивање у служби истраживања Земље сателитом и у служби истраживања свемира може се одобрити у фреквенцијском опсегу 4200–4400 MHz на секундарној основи.</w:t>
      </w:r>
      <w:proofErr w:type="gramEnd"/>
      <w:r w:rsidRPr="007E52B2">
        <w:rPr>
          <w:rFonts w:ascii="Arial" w:hAnsi="Arial" w:cs="Arial"/>
          <w:color w:val="000000"/>
          <w:sz w:val="20"/>
          <w:szCs w:val="20"/>
        </w:rPr>
        <w:t xml:space="preserve"> (WRC-15)</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5.438 Коришћење опсега 4200–4400 МHz за ваздухопловну радионавигацијску службу резервисано је искључиво за радио-висиномере уграђене на ваздухопловима и за пратеће транспондере на тлу.</w:t>
      </w:r>
      <w:proofErr w:type="gramEnd"/>
      <w:r w:rsidRPr="007E52B2">
        <w:rPr>
          <w:rFonts w:ascii="Arial" w:hAnsi="Arial" w:cs="Arial"/>
          <w:color w:val="000000"/>
          <w:sz w:val="20"/>
          <w:szCs w:val="20"/>
        </w:rPr>
        <w:t xml:space="preserve"> (WRC-15)</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RR 5.440 Сателитска служба еталона фреквенције и сигнале тачног времена могу да користе фреквенцију 4202 МHz за пренос свемир-Земља и фреквенцију 6427 МHz за пренос Земља-свемир. </w:t>
      </w:r>
      <w:proofErr w:type="gramStart"/>
      <w:r w:rsidRPr="007E52B2">
        <w:rPr>
          <w:rFonts w:ascii="Arial" w:hAnsi="Arial" w:cs="Arial"/>
          <w:color w:val="000000"/>
          <w:sz w:val="20"/>
          <w:szCs w:val="20"/>
        </w:rPr>
        <w:t>Такав пренос је ограничен на опсег ±2 МHz око ових фреквенција и подлеже закључивању споразума у складу са одредбом тачке 9.21 Правилника.</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5.441 Коришћење опсега 4500–4800 МHz (свемир-Земља), 6725–7025 МHz (Земља–свемир) за фиксну сателитску службу треба да је у сагласности са одредбама Додатка 30В Правилника. Коришћење опсега 10.7–10.95 GHz (свемир-Земља), 11.2–11.45 GHz (свемир–Земља) и 12.75–13.25 GHz (Земља-свемир) од стране геостационарних сателитских система у фиксној сателитској служби треба да је у сагласности са одредбама Додатака 30В Правилника. Коришћење опсега 10.7–10.95 GHz (свемир-Земља), 11.2–11.45 GHz (свемир–Земља) и 12.75–13.25 GHz (Земља-свемир) од стране не-геостационарних сателитских система у фиксној сателитској служби подлеже одредбама тачке 9.12 Правилника за координацију са осталим не-геостационарним сателитским системима у фиксној сателитској служби. Не-геостационарни сателитски системи у фиксној сателитској служби не могу да захтевају заштиту од геостационарних сателитских мрежа у фиксној сателитској служби које раде у сагласности са Правилником, без обзира на датум кад је Бироу достављена информација о завршеној координацији или информација о нотификацији, било за не-геостационарне сателитске системе у фиксној сателитској служби, било за геостационарне сателитске мреже, и не примењује одредба тачке 5.43A Правилника. Не-геостационарни сателитски системи у фиксној сателитској служби у горњим опсезима треба да раде тако да свака евентуална неприхватљива сметња настала у току рада, може брзо да се отклони. (WRC-2000)</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RR 5.442 У опсегу 4825–4835 МHz и 4950–4990 МHz, намена за мобилну службу је ограниченa на мобилну, изузев ваздухопловнe мобилнe, </w:t>
      </w:r>
      <w:proofErr w:type="gramStart"/>
      <w:r w:rsidRPr="007E52B2">
        <w:rPr>
          <w:rFonts w:ascii="Arial" w:hAnsi="Arial" w:cs="Arial"/>
          <w:color w:val="000000"/>
          <w:sz w:val="20"/>
          <w:szCs w:val="20"/>
        </w:rPr>
        <w:t>службу .</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Оваква употреба треба да буде у складу са Резолуцијом 416 (WRC-07) и не сме да изазива штетне сметње фиксној служби.</w:t>
      </w:r>
      <w:proofErr w:type="gramEnd"/>
      <w:r w:rsidRPr="007E52B2">
        <w:rPr>
          <w:rFonts w:ascii="Arial" w:hAnsi="Arial" w:cs="Arial"/>
          <w:color w:val="000000"/>
          <w:sz w:val="20"/>
          <w:szCs w:val="20"/>
        </w:rPr>
        <w:t xml:space="preserve"> (WRC-07)</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5.443AA У фреквенцијским опсезима 5000–5030 MHz и 5091–5150 MHz, ваздухопловна мобилно-сателитска (R) служба подлеже склапању споразума сходно тачки 9.21 Правилника. Коришћење ових опсега од стране ваздухопловне мобилно-сателитске (R) службе је ограничено на међународно стандардизоване ваздухопловне системе. (WRC-12)</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5.443B У циљу спречавања штетних сметњи микроталасним системима за инструментално слетање који раде изнад 5030 MHz, укупна густина флукса снаге на површини Земље у опсегу 5030–5150 MHz настала од свих свемирских станица у оквиру било ког система радионавигацијске сателитске службе (свемир-Земља) који ради у опсегу 5010–5030 MHz не сме да буде већа од –124</w:t>
      </w:r>
      <w:proofErr w:type="gramStart"/>
      <w:r w:rsidRPr="007E52B2">
        <w:rPr>
          <w:rFonts w:ascii="Arial" w:hAnsi="Arial" w:cs="Arial"/>
          <w:color w:val="000000"/>
          <w:sz w:val="20"/>
          <w:szCs w:val="20"/>
        </w:rPr>
        <w:t>,5</w:t>
      </w:r>
      <w:proofErr w:type="gramEnd"/>
      <w:r w:rsidRPr="007E52B2">
        <w:rPr>
          <w:rFonts w:ascii="Arial" w:hAnsi="Arial" w:cs="Arial"/>
          <w:color w:val="000000"/>
          <w:sz w:val="20"/>
          <w:szCs w:val="20"/>
        </w:rPr>
        <w:t xml:space="preserve"> dB(W/m</w:t>
      </w:r>
      <w:r w:rsidRPr="007E52B2">
        <w:rPr>
          <w:rFonts w:ascii="Arial" w:hAnsi="Arial" w:cs="Arial"/>
          <w:color w:val="000000"/>
          <w:sz w:val="20"/>
          <w:szCs w:val="20"/>
          <w:vertAlign w:val="superscript"/>
        </w:rPr>
        <w:t>2</w:t>
      </w:r>
      <w:r w:rsidRPr="007E52B2">
        <w:rPr>
          <w:rFonts w:ascii="Arial" w:hAnsi="Arial" w:cs="Arial"/>
          <w:color w:val="000000"/>
          <w:sz w:val="20"/>
          <w:szCs w:val="20"/>
        </w:rPr>
        <w:t>) у опсегу од 150 kHz. У циљу спречавања штетних сметњи радиоастрономској служби у опсегу 4990–5000 MHz, системи радионавигацијске сателитске службе који раде у опсегу 5010–5030 MHz треба да се придржавају граница из опсега 4990–5000 MHz које су дефинисане у Резолуцији 741 (Rev.WRC-15). (WRC-15)</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5.443C Коришћење фреквенцијског опсега 5030–5091 MHz од стране ваздухопловне мобилне (R) службе је ограничено на међународно стандардизоване ваздухопловне системе.</w:t>
      </w:r>
      <w:proofErr w:type="gramEnd"/>
      <w:r w:rsidRPr="007E52B2">
        <w:rPr>
          <w:rFonts w:ascii="Arial" w:hAnsi="Arial" w:cs="Arial"/>
          <w:color w:val="000000"/>
          <w:sz w:val="20"/>
          <w:szCs w:val="20"/>
        </w:rPr>
        <w:t xml:space="preserve"> Нежељене емисије од ваздухопловне мобилне (R) службе у фреквенцијском опсегу 5030–5091 MHz морају бити ограничене како би се заштитиле силазне везе RNSS система у суседном опсегу 5010–5030 MHz. Док се у релевантној ITU-R Препоруци не утврди </w:t>
      </w:r>
      <w:r w:rsidRPr="007E52B2">
        <w:rPr>
          <w:rFonts w:ascii="Arial" w:hAnsi="Arial" w:cs="Arial"/>
          <w:color w:val="000000"/>
          <w:sz w:val="20"/>
          <w:szCs w:val="20"/>
        </w:rPr>
        <w:lastRenderedPageBreak/>
        <w:t>одговарајућа вредност, треба користити ограничење за густину e.i.r.p. од −75 dBW/MHz у фреквенцијском опсегу 5010–5030 MHz за сваку нежељену емисију AM(R</w:t>
      </w:r>
      <w:proofErr w:type="gramStart"/>
      <w:r w:rsidRPr="007E52B2">
        <w:rPr>
          <w:rFonts w:ascii="Arial" w:hAnsi="Arial" w:cs="Arial"/>
          <w:color w:val="000000"/>
          <w:sz w:val="20"/>
          <w:szCs w:val="20"/>
        </w:rPr>
        <w:t>)S</w:t>
      </w:r>
      <w:proofErr w:type="gramEnd"/>
      <w:r w:rsidRPr="007E52B2">
        <w:rPr>
          <w:rFonts w:ascii="Arial" w:hAnsi="Arial" w:cs="Arial"/>
          <w:color w:val="000000"/>
          <w:sz w:val="20"/>
          <w:szCs w:val="20"/>
        </w:rPr>
        <w:t xml:space="preserve"> станице. (WRC-12)</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5.443D У фреквенцијском опсегу 5030–5091 MHz, ваздухопловна мобилно-сателитска (R) служба подлеже координацији сходно тачки 9.11A Правилника. Коришћење овог фреквенцијског опсега од стране ваздухопловне мобилно-сателитске (R) службе је ограничено на међународно стандардизоване ваздухопловне системе.</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5.444 Опсег 5030–5150 МHz треба да се користи за рад међународног стандардног система за прецизно слетање и приземљење (микроталасни систем за инструментално слетање).</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У опсегу 5030–5091 МHz, потребе овог система имају предност у односу на било коју другу врсту коришћења овог опсега.</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Приликом коришћења опсега 5091–5150 МHz, примењују се одредбе тачке 5.444A и Резолуција 114 (Rev.WRC-15).</w:t>
      </w:r>
      <w:proofErr w:type="gramEnd"/>
      <w:r w:rsidRPr="007E52B2">
        <w:rPr>
          <w:rFonts w:ascii="Arial" w:hAnsi="Arial" w:cs="Arial"/>
          <w:color w:val="000000"/>
          <w:sz w:val="20"/>
          <w:szCs w:val="20"/>
        </w:rPr>
        <w:t xml:space="preserve"> (WRC-15)</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5.444A Коришћење фреквенцијског опсега 5091–5150 MHz од стране фиксне сателитске службе (Земља-свемир) је ограничено на спојне везе не-геостационарних мобилних сателитских система у мобилној сателитској служби и подлеже координацији у складу са тачком 9.11А.</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Коришћење опсега 5091–5150 MHz за спојне везе не-геостационарних мобилних сателитских система у мобилној сателитској служби треба да буде у складу са Резолуцијом 114 (Rev.WRC-15).</w:t>
      </w:r>
      <w:proofErr w:type="gramEnd"/>
      <w:r w:rsidRPr="007E52B2">
        <w:rPr>
          <w:rFonts w:ascii="Arial" w:hAnsi="Arial" w:cs="Arial"/>
          <w:color w:val="000000"/>
          <w:sz w:val="20"/>
          <w:szCs w:val="20"/>
        </w:rPr>
        <w:t xml:space="preserve"> Такође, у циљу заштите ваздухопловне радионавигацијске службе од штетних сметњи, неопходна је координација земаљских станица спојне везе не-геостационарних мобилних сателитских система у мобилној сателитској служби, а које су удаљене мање од 450 km од територије администрације која у раду има земаљску станицу у ваздухопловној радионавигацијској служби. (WRC-15)</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5.444B Коришћење опсега 5091–5150 МHz од стране ваздухопловне мобилне службе је ограничено на:</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системе</w:t>
      </w:r>
      <w:proofErr w:type="gramEnd"/>
      <w:r w:rsidRPr="007E52B2">
        <w:rPr>
          <w:rFonts w:ascii="Arial" w:hAnsi="Arial" w:cs="Arial"/>
          <w:color w:val="000000"/>
          <w:sz w:val="20"/>
          <w:szCs w:val="20"/>
        </w:rPr>
        <w:t xml:space="preserve"> који раде у ваздухопловној мобилној (R) служби и у складу са међународним ваздухопловним стандардима, и то само за примене на површини аеродрома. Оваква употреба је треба да је складу са Резолуцијом 748 (Rev. WRC-15);</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ваздухопловна</w:t>
      </w:r>
      <w:proofErr w:type="gramEnd"/>
      <w:r w:rsidRPr="007E52B2">
        <w:rPr>
          <w:rFonts w:ascii="Arial" w:hAnsi="Arial" w:cs="Arial"/>
          <w:color w:val="000000"/>
          <w:sz w:val="20"/>
          <w:szCs w:val="20"/>
        </w:rPr>
        <w:t xml:space="preserve"> телеметрија од станица на ваздухопловима (видети одредбу тачке 1.83 Правилника) у складу са Резолуцијом 418 (Rev. WRC-15). (WRC-15)</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5.446A Коришћење опсега 5150–5350 MHz и 5470–5725 МHz од станица у мобилној служби, изузев ваздухопловне мобилне службе, треба да буде у сагласности са Резолуцијом 229 (Rev WRC-12).</w:t>
      </w:r>
      <w:proofErr w:type="gramEnd"/>
      <w:r w:rsidRPr="007E52B2">
        <w:rPr>
          <w:rFonts w:ascii="Arial" w:hAnsi="Arial" w:cs="Arial"/>
          <w:color w:val="000000"/>
          <w:sz w:val="20"/>
          <w:szCs w:val="20"/>
        </w:rPr>
        <w:t xml:space="preserve"> (WRC-12)</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5.446B У опсегу 5150–5250 MHz станице у мобилној служби не могу да захтевају заштиту од земаљских станица у фиксној сателитској служби.</w:t>
      </w:r>
      <w:proofErr w:type="gramEnd"/>
      <w:r w:rsidRPr="007E52B2">
        <w:rPr>
          <w:rFonts w:ascii="Arial" w:hAnsi="Arial" w:cs="Arial"/>
          <w:color w:val="000000"/>
          <w:sz w:val="20"/>
          <w:szCs w:val="20"/>
        </w:rPr>
        <w:t xml:space="preserve"> Одредба тачке 5.43A Правилника се не примењује на мобилну службу у односу на земаљске станице фиксне сателитске службе (WRC-03)</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RR 5.446C Додатна намена: у Региону 1 (осим у Алжиру, Саудијској Арабији, Бахреину, Египту, Уједињеним Арапским Емиратима, Јордану, Кувајту, Либану, Мароку, Оману, Катару, Сирији, Судану, Јужном Судану и Тунису) и у Бразилу, опсег 5150–5250 MHz је такође намењен за ваздухопловну мобилну службу на примарној основи, ограничену на ваздухопловни телеметријски пренос од станица на ваздухопловима (видети одредбу тачке 1.83 Правилника) у складу са Резолуцијом 418 (WRC-07). </w:t>
      </w:r>
      <w:proofErr w:type="gramStart"/>
      <w:r w:rsidRPr="007E52B2">
        <w:rPr>
          <w:rFonts w:ascii="Arial" w:hAnsi="Arial" w:cs="Arial"/>
          <w:color w:val="000000"/>
          <w:sz w:val="20"/>
          <w:szCs w:val="20"/>
        </w:rPr>
        <w:t>Ове станице не могу да захтевају заштиту од других станица које раде у складу са чланом 5 Правилника. Одредба тачке 5.43А се не примењује.</w:t>
      </w:r>
      <w:proofErr w:type="gramEnd"/>
      <w:r w:rsidRPr="007E52B2">
        <w:rPr>
          <w:rFonts w:ascii="Arial" w:hAnsi="Arial" w:cs="Arial"/>
          <w:color w:val="000000"/>
          <w:sz w:val="20"/>
          <w:szCs w:val="20"/>
        </w:rPr>
        <w:t xml:space="preserve"> (WRC-12)</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5.447A Намена фиксној сателитској служби (Земља-свемир) је ограничена на спојне везе не-геостационарних сателитских система у мобилно-сателитској служби и подлеже координацији према тачки 9.11А.</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RR 5.447B Додатна намена: опсег 5150–5216 MHz је такође намењен фиксној сателитској служби (свемир-Земља) на примарној основи. Ова намена је ограничена на спојне везе не-геостационарних сателитских система у мобилној сателитској служби и подлеже одредбама тачке 9.11А Правилника. Густина флукса снаге на површини Земље, произведена од стране свемирских станица фиксне сателитске службе у смеру свемир-Земља у опсегу 5150–5216 MHz, ни у ком случају не сме да премаши -164 </w:t>
      </w:r>
      <w:proofErr w:type="gramStart"/>
      <w:r w:rsidRPr="007E52B2">
        <w:rPr>
          <w:rFonts w:ascii="Arial" w:hAnsi="Arial" w:cs="Arial"/>
          <w:color w:val="000000"/>
          <w:sz w:val="20"/>
          <w:szCs w:val="20"/>
        </w:rPr>
        <w:t>dB(</w:t>
      </w:r>
      <w:proofErr w:type="gramEnd"/>
      <w:r w:rsidRPr="007E52B2">
        <w:rPr>
          <w:rFonts w:ascii="Arial" w:hAnsi="Arial" w:cs="Arial"/>
          <w:color w:val="000000"/>
          <w:sz w:val="20"/>
          <w:szCs w:val="20"/>
        </w:rPr>
        <w:t>W/m²) у било која 4 kHz за све упадне углове.</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RR 5.447C Администрације надлежне за мреже фиксне сателитске службе у опсегу 5150–5250 MHz које раде у складу са тачкама 5.447A и 5.447B Правилника, координирају на равноправној основи, у складу са тачком 9.11А, са администрацијама надлежним за не-геостационарне сателитске мреже које раде у складу са тачком 5.446 и које су почеле са радом пре 17. </w:t>
      </w:r>
      <w:proofErr w:type="gramStart"/>
      <w:r w:rsidRPr="007E52B2">
        <w:rPr>
          <w:rFonts w:ascii="Arial" w:hAnsi="Arial" w:cs="Arial"/>
          <w:color w:val="000000"/>
          <w:sz w:val="20"/>
          <w:szCs w:val="20"/>
        </w:rPr>
        <w:t>новембра</w:t>
      </w:r>
      <w:proofErr w:type="gramEnd"/>
      <w:r w:rsidRPr="007E52B2">
        <w:rPr>
          <w:rFonts w:ascii="Arial" w:hAnsi="Arial" w:cs="Arial"/>
          <w:color w:val="000000"/>
          <w:sz w:val="20"/>
          <w:szCs w:val="20"/>
        </w:rPr>
        <w:t xml:space="preserve"> 1995. </w:t>
      </w:r>
      <w:proofErr w:type="gramStart"/>
      <w:r w:rsidRPr="007E52B2">
        <w:rPr>
          <w:rFonts w:ascii="Arial" w:hAnsi="Arial" w:cs="Arial"/>
          <w:color w:val="000000"/>
          <w:sz w:val="20"/>
          <w:szCs w:val="20"/>
        </w:rPr>
        <w:t>године</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Сателитске мреже које раде у складу са тачком 5.446 и које су почеле са радом после 17.</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новембра</w:t>
      </w:r>
      <w:proofErr w:type="gramEnd"/>
      <w:r w:rsidRPr="007E52B2">
        <w:rPr>
          <w:rFonts w:ascii="Arial" w:hAnsi="Arial" w:cs="Arial"/>
          <w:color w:val="000000"/>
          <w:sz w:val="20"/>
          <w:szCs w:val="20"/>
        </w:rPr>
        <w:t xml:space="preserve"> 1995. </w:t>
      </w:r>
      <w:proofErr w:type="gramStart"/>
      <w:r w:rsidRPr="007E52B2">
        <w:rPr>
          <w:rFonts w:ascii="Arial" w:hAnsi="Arial" w:cs="Arial"/>
          <w:color w:val="000000"/>
          <w:sz w:val="20"/>
          <w:szCs w:val="20"/>
        </w:rPr>
        <w:t>године</w:t>
      </w:r>
      <w:proofErr w:type="gramEnd"/>
      <w:r w:rsidRPr="007E52B2">
        <w:rPr>
          <w:rFonts w:ascii="Arial" w:hAnsi="Arial" w:cs="Arial"/>
          <w:color w:val="000000"/>
          <w:sz w:val="20"/>
          <w:szCs w:val="20"/>
        </w:rPr>
        <w:t>, не могу да захтевају заштиту од станица фиксне сателитске службе које раде у складу са тачкама 5.447A и 5.447B, нити смеју да им проузрокују штетне сметње.</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5.447D Намена опсега 5250–5255 МHz за службу истраживања свемира на примарној основи је ограничена на активне сензоре на свемирским летелицама.</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Остале употребе опсега од стране служби истраживања свемира су на секундарној основи.</w:t>
      </w:r>
      <w:proofErr w:type="gramEnd"/>
      <w:r w:rsidRPr="007E52B2">
        <w:rPr>
          <w:rFonts w:ascii="Arial" w:hAnsi="Arial" w:cs="Arial"/>
          <w:color w:val="000000"/>
          <w:sz w:val="20"/>
          <w:szCs w:val="20"/>
        </w:rPr>
        <w:t xml:space="preserve"> (WRC-97)</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5.447F У опсегу 5250–5350 MHz станице у мобилној служби не могу да захтевају заштиту од радиолокацијске службе, службе сателитског истраживања Земље (активно) и службе истраживања свемира (активно).</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Ове службе не могу мобилној служби да наметну строжу заштиту, узимајући у обзир карактеристике система и критеријуме ометања, од оне дефинисане у Препорукама ITU-R M.1638–0 и ITU-R SA.1632–0.</w:t>
      </w:r>
      <w:proofErr w:type="gramEnd"/>
      <w:r w:rsidRPr="007E52B2">
        <w:rPr>
          <w:rFonts w:ascii="Arial" w:hAnsi="Arial" w:cs="Arial"/>
          <w:color w:val="000000"/>
          <w:sz w:val="20"/>
          <w:szCs w:val="20"/>
        </w:rPr>
        <w:t xml:space="preserve"> (WRC-15)</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5.448А Службе сателитског истраживања Земље (активно) и истраживања свемира (активно) у фреквенцијском опсегу 5250–5350 MHz не могу да захтевају заштиту од радиолокацијске службе.</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Одредба тачке 5.43 Правилника се не примењује.</w:t>
      </w:r>
      <w:proofErr w:type="gramEnd"/>
      <w:r w:rsidRPr="007E52B2">
        <w:rPr>
          <w:rFonts w:ascii="Arial" w:hAnsi="Arial" w:cs="Arial"/>
          <w:color w:val="000000"/>
          <w:sz w:val="20"/>
          <w:szCs w:val="20"/>
        </w:rPr>
        <w:t xml:space="preserve"> (WRC-03)</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lastRenderedPageBreak/>
        <w:t>RR 5.448В Служба сателитског истраживања Земље сателитом (активно) која ради у опсегу 5350–5570 MHz и служба истраживања свемира (активно) која ради у опсегу 5460–5570 MHz не сме да изазива штетне сметње ваздухопловној радионавигацијској служби у опсегу 5350–5460 MHz, радионавигацијској служби у опсегу 5460–5470 MHz и поморској радионавигацијској служби у опсегу 5470–5570 MHz. (WRC-03)</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5.448CСлужба истраживања свемира (активно) која ради у опсегу 5350–5460 MHz не сме да изазива штетне сметње другим службама којима је овај опсег намењен, нити да захтева заштиту од истих.</w:t>
      </w:r>
      <w:proofErr w:type="gramEnd"/>
      <w:r w:rsidRPr="007E52B2">
        <w:rPr>
          <w:rFonts w:ascii="Arial" w:hAnsi="Arial" w:cs="Arial"/>
          <w:color w:val="000000"/>
          <w:sz w:val="20"/>
          <w:szCs w:val="20"/>
        </w:rPr>
        <w:t xml:space="preserve"> (WRC-03)</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5.448D У фреквенцијском опсегу 5350–5470 MHz станице у радиолокацијској служби не смеју да изазивају штетне сметње радарским системима у ваздухопловној радионавигацијској служби која ради у сагласности са тачком 5.449 Правилника, нити да захтева заштиту од истих. (WRC-03)</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5.449 Коришћење опсега 5350-5470 МHz у ваздухопловној радионавигацијској служби ограничено је на радаре на летелицама и припадајуће радио-фарове на летелицама.</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5.450A У опсегу 5470–5725 MHz станице у мобилној служби не могу да захтевају заштиту од радиодетерминацијских служби.</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Радиодетерминацијске службе не могу да намећу мобилној служби строжије критеријуме заштите, узимајући у обзир карактеристике система и критеријуме ометања, од оних које су наведене у Препоруци ITU-R M.1638–0.</w:t>
      </w:r>
      <w:proofErr w:type="gramEnd"/>
      <w:r w:rsidRPr="007E52B2">
        <w:rPr>
          <w:rFonts w:ascii="Arial" w:hAnsi="Arial" w:cs="Arial"/>
          <w:color w:val="000000"/>
          <w:sz w:val="20"/>
          <w:szCs w:val="20"/>
        </w:rPr>
        <w:t xml:space="preserve"> (WRC-15)</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5.450B У фреквенцијском опсегу 5470–5650 MHz станице у радиолокацијској служби, изузев радара на Земљи који се користе у метеоролошке сврхе у опсегу 5600–5650 MHz, не смеју да изазивају штетне сметње радарским системима у поморској навигацијској служби, нити да захтевају заштиту од истих. (WRC-03)</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5.457A У опсезима 5925–6425 MHz и 14–14.5 GHz, земаљске станице на пловилима (</w:t>
      </w:r>
      <w:r w:rsidRPr="007E52B2">
        <w:rPr>
          <w:rFonts w:ascii="Arial" w:hAnsi="Arial" w:cs="Arial"/>
          <w:i/>
          <w:iCs/>
          <w:color w:val="000000"/>
          <w:sz w:val="20"/>
          <w:szCs w:val="20"/>
        </w:rPr>
        <w:t>board vessels</w:t>
      </w:r>
      <w:r w:rsidRPr="007E52B2">
        <w:rPr>
          <w:rFonts w:ascii="Arial" w:hAnsi="Arial" w:cs="Arial"/>
          <w:color w:val="000000"/>
          <w:sz w:val="20"/>
          <w:szCs w:val="20"/>
        </w:rPr>
        <w:t>) могу да комуницирају са свемирским станицама у фиксној сателитској служби.</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Таква употреба треба да буде у складу са Резолуцијом 902 (WRC-03).</w:t>
      </w:r>
      <w:proofErr w:type="gramEnd"/>
      <w:r w:rsidRPr="007E52B2">
        <w:rPr>
          <w:rFonts w:ascii="Arial" w:hAnsi="Arial" w:cs="Arial"/>
          <w:color w:val="000000"/>
          <w:sz w:val="20"/>
          <w:szCs w:val="20"/>
        </w:rPr>
        <w:t xml:space="preserve"> У опсегу 5925–6425 MHz земаљске станице на пловилима (</w:t>
      </w:r>
      <w:r w:rsidRPr="007E52B2">
        <w:rPr>
          <w:rFonts w:ascii="Arial" w:hAnsi="Arial" w:cs="Arial"/>
          <w:i/>
          <w:iCs/>
          <w:color w:val="000000"/>
          <w:sz w:val="20"/>
          <w:szCs w:val="20"/>
        </w:rPr>
        <w:t>board vessels</w:t>
      </w:r>
      <w:r w:rsidRPr="007E52B2">
        <w:rPr>
          <w:rFonts w:ascii="Arial" w:hAnsi="Arial" w:cs="Arial"/>
          <w:color w:val="000000"/>
          <w:sz w:val="20"/>
          <w:szCs w:val="20"/>
        </w:rPr>
        <w:t>) које комуницирају са свемирским станицама у фиксној сателитској служби могу да користе предајне антене минималног пречника 1</w:t>
      </w:r>
      <w:proofErr w:type="gramStart"/>
      <w:r w:rsidRPr="007E52B2">
        <w:rPr>
          <w:rFonts w:ascii="Arial" w:hAnsi="Arial" w:cs="Arial"/>
          <w:color w:val="000000"/>
          <w:sz w:val="20"/>
          <w:szCs w:val="20"/>
        </w:rPr>
        <w:t>,2</w:t>
      </w:r>
      <w:proofErr w:type="gramEnd"/>
      <w:r w:rsidRPr="007E52B2">
        <w:rPr>
          <w:rFonts w:ascii="Arial" w:hAnsi="Arial" w:cs="Arial"/>
          <w:color w:val="000000"/>
          <w:sz w:val="20"/>
          <w:szCs w:val="20"/>
        </w:rPr>
        <w:t xml:space="preserve"> m и да буду пуштене у рад без претходне сагласности других администрација под условом да су лоциране бар 330 km од полазне тачке од које се, у смеру пучине, рачуна граница територијалних вода (low-water mark) . </w:t>
      </w:r>
      <w:proofErr w:type="gramStart"/>
      <w:r w:rsidRPr="007E52B2">
        <w:rPr>
          <w:rFonts w:ascii="Arial" w:hAnsi="Arial" w:cs="Arial"/>
          <w:color w:val="000000"/>
          <w:sz w:val="20"/>
          <w:szCs w:val="20"/>
        </w:rPr>
        <w:t>Све остале одредбе Резолуције 902 (WRC-03) се примењују.</w:t>
      </w:r>
      <w:proofErr w:type="gramEnd"/>
      <w:r w:rsidRPr="007E52B2">
        <w:rPr>
          <w:rFonts w:ascii="Arial" w:hAnsi="Arial" w:cs="Arial"/>
          <w:color w:val="000000"/>
          <w:sz w:val="20"/>
          <w:szCs w:val="20"/>
        </w:rPr>
        <w:t xml:space="preserve"> (WRC-15)</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5.458 У опсегу 6425–7075 MHz, обављају се пасивна микроталасна сензорска мерења изнад океана.</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У опсегу 7075–7250 MHz, обављају се пасивна микроталасна сензорска мерења.</w:t>
      </w:r>
      <w:proofErr w:type="gramEnd"/>
      <w:r w:rsidRPr="007E52B2">
        <w:rPr>
          <w:rFonts w:ascii="Arial" w:hAnsi="Arial" w:cs="Arial"/>
          <w:color w:val="000000"/>
          <w:sz w:val="20"/>
          <w:szCs w:val="20"/>
        </w:rPr>
        <w:t xml:space="preserve"> Приликом планирања будућег коришћења опсега 6425–7025 MHz и 7075–7250 MHz, администрације треба да имају у виду потребе службе за сателитско итраживање Земље (пасивно) и службе истраживање свемира (пасивно)</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5.458A При намени опсега 6700–7075 MHz свемирским станицама фиксне сателитске службе, администрацијама се саветује да предузму све потребне кораке у циљу заштите осматрања спектралних линија радио астрономске службе у опсегу 6650–6675,2 MHz од штетних сметњи од нежељених емисија.</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5.458B Намена за смер свемир-Земља у фиксној сателитској служби у опсегу 6700–7075 МHz је ограничена на спојне везе за не-геостационарне сателитске системе мобилне сателитске службе и подлеже координацији сагласно одредби тачке 9.11A Правилника. На коришћење опсега 6700–7075 МHz (свемир-Земља) од стране спојних веза не-геостационарних сателитских система у мобилној сателитској служби не примењује се одредба тачке 22.2 Правилника.</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5.460 Емисије од система у служби истраживања свемира (Земља-свемир) у далеки свемир у опсегу 7190–7235 MHz нису дозвољене.</w:t>
      </w:r>
      <w:proofErr w:type="gramEnd"/>
      <w:r w:rsidRPr="007E52B2">
        <w:rPr>
          <w:rFonts w:ascii="Arial" w:hAnsi="Arial" w:cs="Arial"/>
          <w:color w:val="000000"/>
          <w:sz w:val="20"/>
          <w:szCs w:val="20"/>
        </w:rPr>
        <w:t xml:space="preserve"> Геостационарни сателити у служби истраживања свемира који раде у опсегу 7190–7235 MHz не могу да захтевају заштиту од постојећих или будућих станица фиксних или мобилних служби, при чему се не примењује се одредба тачке 5.43А Правилника. (WRC-15)</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5.460A Употреба фреквенцијског опсега 7190–7250 MHz (Земља-свемир) од стране сателитске службе истраживања Земље ће бити ограничена на праћење, телеметрију и команду за рад свемирских летелица.</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Свемирске станице које раде у сателитској служби истраживања Земље (Земља-свемир) у фреквенцијском опсегу 7190–7250 MHz не могу да захтевају заштиту од постојећих и будућих станица у фиксним и мобилним сервисима, 5.43А се не примењује а 9.17 примењује се.</w:t>
      </w:r>
      <w:proofErr w:type="gramEnd"/>
      <w:r w:rsidRPr="007E52B2">
        <w:rPr>
          <w:rFonts w:ascii="Arial" w:hAnsi="Arial" w:cs="Arial"/>
          <w:color w:val="000000"/>
          <w:sz w:val="20"/>
          <w:szCs w:val="20"/>
        </w:rPr>
        <w:t xml:space="preserve"> Поред тога, како би се осигурала заштита постојећег и будућег размештања фиксних и мобилних сервиса, локације земаљских станица које подржавају свемирске летелице у сателитској служби истраживања Земље у негеостационарним орбити или геостационарној орбити одржавају раздаљину од најмање 10 km и 50 km, респективно, од одговарајуће границе суседних земаља, осим ако се између одговарајућих регулаторних тела афектираних земаља не договори краће растојање. (WRC-15)</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5.460B Свемирске станице на геостационарној орбити која раде у сателитској служби истраживања Земље (Земља-свемир) у фреквенцијском опсегу 7 190–7 235 MHz не могу да захтевају заштиту од постојећих и будућих станица службе за истраживање свемира и овде се 5.43 А не примењује.</w:t>
      </w:r>
      <w:proofErr w:type="gramEnd"/>
      <w:r w:rsidRPr="007E52B2">
        <w:rPr>
          <w:rFonts w:ascii="Arial" w:hAnsi="Arial" w:cs="Arial"/>
          <w:color w:val="000000"/>
          <w:sz w:val="20"/>
          <w:szCs w:val="20"/>
        </w:rPr>
        <w:t xml:space="preserve"> (WRC-15)</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5.461 Додатна намена: опсези 7250–7375 MHz (свемир-Земља) и 7900–8025 MHz (Земља-свемир) су такође намењени мобилно-сателитској служби на примарној основи, и подлеже закључивању споразума сходно тачки 9.21 Правилника.</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5.461A Коришћење опсега 7450–7550 МHz од стране метеоролошке сателитске службе (свемир-Земља) је ограничено на геостационарне сателитске системе.</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Не-геостационарни метеоролошки сателитски системи у овом опсегу нотификовани пре 30.</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новембра</w:t>
      </w:r>
      <w:proofErr w:type="gramEnd"/>
      <w:r w:rsidRPr="007E52B2">
        <w:rPr>
          <w:rFonts w:ascii="Arial" w:hAnsi="Arial" w:cs="Arial"/>
          <w:color w:val="000000"/>
          <w:sz w:val="20"/>
          <w:szCs w:val="20"/>
        </w:rPr>
        <w:t xml:space="preserve"> 1997. </w:t>
      </w:r>
      <w:proofErr w:type="gramStart"/>
      <w:r w:rsidRPr="007E52B2">
        <w:rPr>
          <w:rFonts w:ascii="Arial" w:hAnsi="Arial" w:cs="Arial"/>
          <w:color w:val="000000"/>
          <w:sz w:val="20"/>
          <w:szCs w:val="20"/>
        </w:rPr>
        <w:t>могу</w:t>
      </w:r>
      <w:proofErr w:type="gramEnd"/>
      <w:r w:rsidRPr="007E52B2">
        <w:rPr>
          <w:rFonts w:ascii="Arial" w:hAnsi="Arial" w:cs="Arial"/>
          <w:color w:val="000000"/>
          <w:sz w:val="20"/>
          <w:szCs w:val="20"/>
        </w:rPr>
        <w:t xml:space="preserve"> да наставе са радом на примарној основи до краја свог радног века. </w:t>
      </w:r>
      <w:proofErr w:type="gramStart"/>
      <w:r w:rsidRPr="007E52B2">
        <w:rPr>
          <w:rFonts w:ascii="Arial" w:hAnsi="Arial" w:cs="Arial"/>
          <w:color w:val="000000"/>
          <w:sz w:val="20"/>
          <w:szCs w:val="20"/>
        </w:rPr>
        <w:t>(WRC-97).</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lastRenderedPageBreak/>
        <w:t>RR 5.461B Коришћење опсега 7750–7900 МHz од стране метеоролошке сателитске службе (свемир-Земља) је ограничено на не-геостационарне сателитске системе.</w:t>
      </w:r>
      <w:proofErr w:type="gramEnd"/>
      <w:r w:rsidRPr="007E52B2">
        <w:rPr>
          <w:rFonts w:ascii="Arial" w:hAnsi="Arial" w:cs="Arial"/>
          <w:color w:val="000000"/>
          <w:sz w:val="20"/>
          <w:szCs w:val="20"/>
        </w:rPr>
        <w:t xml:space="preserve"> (WRC-12)</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5.462A У Регионима 1 и 3 (осим у Јапану) у опсегу 8025–8400 МHz, сателитска служба истраживања Земље која користи геостационарне сателите не сме да ствара густину флукса снаге већу од следећих провизорних вредности за упадни угао (θ) без сагласности угрожене администрације: –135 dB(W/m</w:t>
      </w:r>
      <w:r w:rsidRPr="007E52B2">
        <w:rPr>
          <w:rFonts w:ascii="Arial" w:hAnsi="Arial" w:cs="Arial"/>
          <w:color w:val="000000"/>
          <w:sz w:val="20"/>
          <w:szCs w:val="20"/>
          <w:vertAlign w:val="superscript"/>
        </w:rPr>
        <w:t>2</w:t>
      </w:r>
      <w:r w:rsidRPr="007E52B2">
        <w:rPr>
          <w:rFonts w:ascii="Arial" w:hAnsi="Arial" w:cs="Arial"/>
          <w:color w:val="000000"/>
          <w:sz w:val="20"/>
          <w:szCs w:val="20"/>
        </w:rPr>
        <w:t>) у опсегу од 1 МHz за 0 ° ≤ θ &lt; 5°, –135 + 0,5 (θ-5) dB(W/m</w:t>
      </w:r>
      <w:r w:rsidRPr="007E52B2">
        <w:rPr>
          <w:rFonts w:ascii="Arial" w:hAnsi="Arial" w:cs="Arial"/>
          <w:color w:val="000000"/>
          <w:sz w:val="20"/>
          <w:szCs w:val="20"/>
          <w:vertAlign w:val="superscript"/>
        </w:rPr>
        <w:t>2</w:t>
      </w:r>
      <w:r w:rsidRPr="007E52B2">
        <w:rPr>
          <w:rFonts w:ascii="Arial" w:hAnsi="Arial" w:cs="Arial"/>
          <w:color w:val="000000"/>
          <w:sz w:val="20"/>
          <w:szCs w:val="20"/>
        </w:rPr>
        <w:t>) у опсегу од 1 МHz за 5° ≤ θ &lt; 25°, –125 dB(W/m</w:t>
      </w:r>
      <w:r w:rsidRPr="007E52B2">
        <w:rPr>
          <w:rFonts w:ascii="Arial" w:hAnsi="Arial" w:cs="Arial"/>
          <w:color w:val="000000"/>
          <w:sz w:val="20"/>
          <w:szCs w:val="20"/>
          <w:vertAlign w:val="superscript"/>
        </w:rPr>
        <w:t>2</w:t>
      </w:r>
      <w:r w:rsidRPr="007E52B2">
        <w:rPr>
          <w:rFonts w:ascii="Arial" w:hAnsi="Arial" w:cs="Arial"/>
          <w:color w:val="000000"/>
          <w:sz w:val="20"/>
          <w:szCs w:val="20"/>
        </w:rPr>
        <w:t>) у опсегу од 1 МHz за 25° ≤ θ &lt; 90°. (WRC-12)</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5.463 Станицама на ваздухопловима није дозвољено да емитују у опсегу 8025–8400 МHz (WRC-97).</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5.465 У служби истраживања свемира коришћење опсега 8400–8450 МHz је ограничено на далеки свемир.</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5.469A У опсегу 8550–8650 М, станице у сателитској служби истраживања Земље (активно) и служби истраживања свемира (активно) не смеју да изазивају штетне сметње станицама радиолокацијске службе, нити да ограничавају њихово коришћење и развој.</w:t>
      </w:r>
      <w:proofErr w:type="gramEnd"/>
      <w:r w:rsidRPr="007E52B2">
        <w:rPr>
          <w:rFonts w:ascii="Arial" w:hAnsi="Arial" w:cs="Arial"/>
          <w:color w:val="000000"/>
          <w:sz w:val="20"/>
          <w:szCs w:val="20"/>
        </w:rPr>
        <w:t xml:space="preserve"> (WRC-97)</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5.470 Коришћење опсега 8750-8850 МHz за ваздухопловну радионавигацијску службу ограничено је на помоћне навигацијске уређаје са Доплеровим ефектом на летелицама, са централном фреквенцијом 8800 МHz.</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5.473A У опсегу 9000–9200 MHz станице које раде у радиолокацијској служби не смеју да изазивају штетне сметње системима наведеним у одредби тачке 5.337 Правилника који раде у ваздухопловној радионавигацијској служби или радарским системима у поморској радионавигацијској служби који раде у овом опсегу на примарној основи у земљама наведеним у одредби тачке 5.471 Правилника, нити да захтевају заштиту од истих. (WRC-07)</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5.474 У опсегу 9200–9500 МHz могу се користити транспондери за трагање и спасавање (SART), узимајући у обзир одговарајуће препоруке ITU-R (видети такође члан 31.</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Правилника).</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RR 5.474A Коришћење фреквенцијског опсега 9200–9300 МHz и 9900–10400 МHz од стране сателитске службе истраживања Земље (активно) ограничено је на системе који захтевају неопходни опсег већи од 600 МHz који се не могу у потпуности сместити унутар фреквенцијског опсега 9300–9900 МHz. Оваква употреба подлеже споразуму под бројем 9.21 (Алжир, Саудијска Арабија, Бахреин, Египат, Индонезија, Иран (Исламска Република), Либан и Тунис. Управа која није одговорила под бројем 9.52 сматра се да није пристала на захтев за координацију. </w:t>
      </w:r>
      <w:proofErr w:type="gramStart"/>
      <w:r w:rsidRPr="007E52B2">
        <w:rPr>
          <w:rFonts w:ascii="Arial" w:hAnsi="Arial" w:cs="Arial"/>
          <w:color w:val="000000"/>
          <w:sz w:val="20"/>
          <w:szCs w:val="20"/>
        </w:rPr>
        <w:t>У овом случају, административна служба која обавештава сателитски систем који ради у сателитској служби истраживања Земље (активно) може затражити помоћ Бироа у складу са чланом 9.</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5.474В Станице у сателитској служби истраживања Земље (активне) морају ускладити рад са Препоруком ITU-R RS.2066-0.</w:t>
      </w:r>
      <w:proofErr w:type="gramEnd"/>
      <w:r w:rsidRPr="007E52B2">
        <w:rPr>
          <w:rFonts w:ascii="Arial" w:hAnsi="Arial" w:cs="Arial"/>
          <w:color w:val="000000"/>
          <w:sz w:val="20"/>
          <w:szCs w:val="20"/>
        </w:rPr>
        <w:t xml:space="preserve"> (WRC-15)</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5.474С Станице у сателитској служби истраживање Земље (активне) морају ускладити рад са Препоруком ITU-R RS.2065-0.</w:t>
      </w:r>
      <w:proofErr w:type="gramEnd"/>
      <w:r w:rsidRPr="007E52B2">
        <w:rPr>
          <w:rFonts w:ascii="Arial" w:hAnsi="Arial" w:cs="Arial"/>
          <w:color w:val="000000"/>
          <w:sz w:val="20"/>
          <w:szCs w:val="20"/>
        </w:rPr>
        <w:t xml:space="preserve"> (WRC-15)</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RR </w:t>
      </w:r>
      <w:proofErr w:type="gramStart"/>
      <w:r w:rsidRPr="007E52B2">
        <w:rPr>
          <w:rFonts w:ascii="Arial" w:hAnsi="Arial" w:cs="Arial"/>
          <w:color w:val="000000"/>
          <w:sz w:val="20"/>
          <w:szCs w:val="20"/>
        </w:rPr>
        <w:t>5.474D Станице у сателитској служби истраживање Земље (активне) не смеју да изазивају штетне сметње или да захтевају заштиту од станица поморске радио-навигацијске и радиолокацијске службе у фреквенцијском опсегу 9200–9300МHz,</w:t>
      </w:r>
      <w:proofErr w:type="gramEnd"/>
      <w:r w:rsidRPr="007E52B2">
        <w:rPr>
          <w:rFonts w:ascii="Arial" w:hAnsi="Arial" w:cs="Arial"/>
          <w:color w:val="000000"/>
          <w:sz w:val="20"/>
          <w:szCs w:val="20"/>
        </w:rPr>
        <w:t xml:space="preserve"> радионавигацијске и радиолокацијске услуге у фреквенцијском опсегу 9900–10000 МHz и радиолокацијске службе у фреквенцијском опсегу 10.0–10.4 GHz. (WRC-15)</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5.475 Коришћење опсега 9300–9500 MHz за ваздухопловну радионавигацијску службу ограничено је на временске радаре на летелицама и радаре на тлу.</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Додатно, радарске станице радио-фарова на тлу у ваздухопловној радионавигацијској служби дозвољени су у опсегу 9300-9320 MHz, под условом да не изазивају штетне сметње поморској радионавигацијској служби.</w:t>
      </w:r>
      <w:proofErr w:type="gramEnd"/>
      <w:r w:rsidRPr="007E52B2">
        <w:rPr>
          <w:rFonts w:ascii="Arial" w:hAnsi="Arial" w:cs="Arial"/>
          <w:color w:val="000000"/>
          <w:sz w:val="20"/>
          <w:szCs w:val="20"/>
        </w:rPr>
        <w:t xml:space="preserve"> (WRC-07)</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5.475A Коришћење опсега 9300–9500 MHz за службу истраживања Земље сателитом (активно) и службу истраживања свемира (активно) је ограничено на системе који захтевају ширину опсега већу од 300 MHz тако да не могу у потпуности да се сместе унутар опсега 9500–9800 MHz. (WRC-07)</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5.475В У опсегу 9300–9500 MHz, станице које раде у радиолокацијској служби не смеју да изазивају штетне сметње радарима који раде у радионавигацијској служби у сагласности са Правилником, нити да захтевају заштиту од истих.</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Земаљски радари коришћени за метеоролошке сврхе имају приоритет у односу на друге радиолокацијским употребе.</w:t>
      </w:r>
      <w:proofErr w:type="gramEnd"/>
      <w:r w:rsidRPr="007E52B2">
        <w:rPr>
          <w:rFonts w:ascii="Arial" w:hAnsi="Arial" w:cs="Arial"/>
          <w:color w:val="000000"/>
          <w:sz w:val="20"/>
          <w:szCs w:val="20"/>
        </w:rPr>
        <w:t xml:space="preserve"> (WRC-07)</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5.476A У опсегу 9300–9800 MHz станице у сателитској служби истраживања Земље (активно) и служби истраживања свемира (активно) не смеју да изазивају штетне сметње станицама радионавигацијске и радиолокацијске службе, нити да захтевају заштиту од истих.</w:t>
      </w:r>
      <w:proofErr w:type="gramEnd"/>
      <w:r w:rsidRPr="007E52B2">
        <w:rPr>
          <w:rFonts w:ascii="Arial" w:hAnsi="Arial" w:cs="Arial"/>
          <w:color w:val="000000"/>
          <w:sz w:val="20"/>
          <w:szCs w:val="20"/>
        </w:rPr>
        <w:t xml:space="preserve"> (WRC-07)</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5.478A У опсегу 9800–9900 MHz, станице у служби истраживања Земље сателитом (активно) и служби истраживања свемира (активно) не смеју да изазивају штетне сметње станицама у фиксној служби које су у овом опсегу намењене на секундарној основи, нити да захтевају заштиту од истих. (WRC-07)</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5.478B У опсегу 9800–9900 MHz станице у служби истраживања Земље сателитом (активно) и служби истраживања свемира (активно) не смеју проузроковати штетне сметње станицама у фиксној служби којима је опсег намењен на секундарној основи, нити захтевати заштиту од истих.</w:t>
      </w:r>
      <w:proofErr w:type="gramEnd"/>
      <w:r w:rsidRPr="007E52B2">
        <w:rPr>
          <w:rFonts w:ascii="Arial" w:hAnsi="Arial" w:cs="Arial"/>
          <w:color w:val="000000"/>
          <w:sz w:val="20"/>
          <w:szCs w:val="20"/>
        </w:rPr>
        <w:t xml:space="preserve"> (WRC-12)</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5.479 Опсег 9975–10025 MHz је такође намењен метеоролошко-сателитској служби на секундарној основи, за коришћење од стране метеоролошких радара.</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5.482 У опсегу 10.60–10.68 GHz, снага која се предаје антени станица у фиксној служби и мобилној служби, изузев ваздухопловне мобилне службе, не сме да буде већа од –3 dBW.</w:t>
      </w:r>
      <w:proofErr w:type="gramEnd"/>
      <w:r w:rsidRPr="007E52B2">
        <w:rPr>
          <w:rFonts w:ascii="Arial" w:hAnsi="Arial" w:cs="Arial"/>
          <w:color w:val="000000"/>
          <w:sz w:val="20"/>
          <w:szCs w:val="20"/>
        </w:rPr>
        <w:t xml:space="preserve"> Ово ограничење може да се повећа на основу споразума који се закључује сагласно са одредбом тачком 9.21 Правилника. (WRC-07)</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5.482А За заједничко коришћење опсега 10.60–10.68 GHz између службе истраживања Земље сателитом (пасивно) и фиксне и мобилне службе, изузев ваздухопловне мобилне службе, примењује се Резолуција 751 (WRC-07).</w:t>
      </w:r>
      <w:proofErr w:type="gramEnd"/>
      <w:r w:rsidRPr="007E52B2">
        <w:rPr>
          <w:rFonts w:ascii="Arial" w:hAnsi="Arial" w:cs="Arial"/>
          <w:color w:val="000000"/>
          <w:sz w:val="20"/>
          <w:szCs w:val="20"/>
        </w:rPr>
        <w:t xml:space="preserve"> (WRC-07)</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lastRenderedPageBreak/>
        <w:t>RR 5.484 Коришћење опсега 10.7–11.7 GHz од стране фиксне сателитске службе (Земља-свемир) је ограничено на спојне везе за радиодифузну сателитску службу.</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RR 5.484А Коришћење опсега 10.95–11.2 GHz (свемир-Земља), 11.45–11.7 GHz (свемир-Земља), 11.7–12.2 GHz (свемир-Земља) у Региону 2, 12.2–12.75 GHz (свемир-Земља) у Региону 3, 12.5–12.75 GHz (свемир-Земља) Региону 1, 13.75–14.5 GHz (Земља-свемир), 17.8–18.6 GHz (свемир-Земља), 19.7–20.2 GHz (свемир-Земља), 27.5–28.6 GHz (Земља-свемир), 29.5–30 GHz (Земља-свемир) за не-геостационарне сателитске системе у фиксној сателитској служби подлеже примени одредаба тачке 9.12 Правилника које се односе на координацију са другим не-геостационарним сателитским системима у фиксној сателитској служби. Не-геостационарни сателитски системи у фиксној сателитској служби не могу да захтевају заштиту од геостационарних сателитских мрежа у фиксној сателитској служби које раде сагласно са Правилником, без обзира на датум када је Бироу достављена информација о завршеној координацији односно информација о нотификацији за не-геостационарне сателитске системе у фиксној сателитској служби и информација о завршеној координацији односно информација о нотификацији за геостационарне сателитске мреже, при чему се не примењује одредба тачке 5.43А Правилника. Не-геостационарни сателитски системи у фиксној сателитској служби у наведеним опсезима треба да раде тако да свака евентуална неприхватљива сметња настала у току рада, може брзо да се отклони. </w:t>
      </w:r>
      <w:proofErr w:type="gramStart"/>
      <w:r w:rsidRPr="007E52B2">
        <w:rPr>
          <w:rFonts w:ascii="Arial" w:hAnsi="Arial" w:cs="Arial"/>
          <w:color w:val="000000"/>
          <w:sz w:val="20"/>
          <w:szCs w:val="20"/>
        </w:rPr>
        <w:t>(WRC-2000).</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5.484B Примењује се Резолуција 155 (WRC-15).</w:t>
      </w:r>
      <w:proofErr w:type="gramEnd"/>
      <w:r w:rsidRPr="007E52B2">
        <w:rPr>
          <w:rFonts w:ascii="Arial" w:hAnsi="Arial" w:cs="Arial"/>
          <w:color w:val="000000"/>
          <w:sz w:val="20"/>
          <w:szCs w:val="20"/>
        </w:rPr>
        <w:t xml:space="preserve"> (WRC-15)</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5.487 У опсегу 11.7–12.5 GHz фиксна, мобилна, изузев ваздухопловне мобилне, и радиодифузна служба, не смеју да изазивају штетне сметње радиодифузним сателитским станицама које раде сагласно са Планом из Додатка 30 Правилника, нити да захтевају заштиту од истих. (WRC-03)</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5.492 Доделе станицама радиодифузне сателитске службе које су у сагласности са одговарајућим регионалним планом или су уписане у листу за Регион 1 из Додатка 30, могу такође да се користе за пренос сигнала у фиксној сателитској служби (свемир-Земља) под условом да овакав пренос сигнала не изазива веће сметње нити захтева већу заштиту у односу на радиодифузне сателитске службе које раде сагласно са Планом или Листом. (WRC-2000).</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5.497 Коришћење опсега 13.25–13.4 GHz од стране ваздухопловне радионавигацијске службе ограничено је на навигационе помоћне уређаје који користе Доплеров ефекат.</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5.498A Сателитска служба истраживања Земље (активна) и служба истраживања свемира (активна) које раде у опсегу 13.25–13.4 GHz не смеју да изазивају штетне сметње ваздухопловној радионавигацијској служби, нити да ограничавају њено коришћење и развој.</w:t>
      </w:r>
      <w:proofErr w:type="gramEnd"/>
      <w:r w:rsidRPr="007E52B2">
        <w:rPr>
          <w:rFonts w:ascii="Arial" w:hAnsi="Arial" w:cs="Arial"/>
          <w:color w:val="000000"/>
          <w:sz w:val="20"/>
          <w:szCs w:val="20"/>
        </w:rPr>
        <w:t xml:space="preserve"> (WRC-97)</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RR 5.499A Коришћење фреквенцијског опсега 13.4–13.65 GHz од стране фиксне сателитске службе (свемир-Земља) је ограниченo на геостационарне сателитске системе и подлеже склапању споразума сходно тачки 9.21 Правилника у вези са сателитским системима који раде у служби истраживања свемира (свемир-свемир) и преносе податке од свемирских станица у геостационарној сателитској орбити до припадајућих свемирских станица у негеостационарним сателитским орбитама за које је API (advance publication information) информацију Биро примио пре 27. </w:t>
      </w:r>
      <w:proofErr w:type="gramStart"/>
      <w:r w:rsidRPr="007E52B2">
        <w:rPr>
          <w:rFonts w:ascii="Arial" w:hAnsi="Arial" w:cs="Arial"/>
          <w:color w:val="000000"/>
          <w:sz w:val="20"/>
          <w:szCs w:val="20"/>
        </w:rPr>
        <w:t>новембра</w:t>
      </w:r>
      <w:proofErr w:type="gramEnd"/>
      <w:r w:rsidRPr="007E52B2">
        <w:rPr>
          <w:rFonts w:ascii="Arial" w:hAnsi="Arial" w:cs="Arial"/>
          <w:color w:val="000000"/>
          <w:sz w:val="20"/>
          <w:szCs w:val="20"/>
        </w:rPr>
        <w:t xml:space="preserve"> 2015. </w:t>
      </w:r>
      <w:proofErr w:type="gramStart"/>
      <w:r w:rsidRPr="007E52B2">
        <w:rPr>
          <w:rFonts w:ascii="Arial" w:hAnsi="Arial" w:cs="Arial"/>
          <w:color w:val="000000"/>
          <w:sz w:val="20"/>
          <w:szCs w:val="20"/>
        </w:rPr>
        <w:t>године</w:t>
      </w:r>
      <w:proofErr w:type="gramEnd"/>
      <w:r w:rsidRPr="007E52B2">
        <w:rPr>
          <w:rFonts w:ascii="Arial" w:hAnsi="Arial" w:cs="Arial"/>
          <w:color w:val="000000"/>
          <w:sz w:val="20"/>
          <w:szCs w:val="20"/>
        </w:rPr>
        <w:t>. (WRC-15)</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5.499B Администрације не смеју да спречавају распоређивање и рад предајних земаљских станица у сателитској служби еталона фреквенције и сигнала тачног времена (Земља-свемир) којој је опсег 13.4–13.65 GHz намењен на секундарној основи због намене фиксној сателитској служби (свемир-Земља) на примарној основи.</w:t>
      </w:r>
      <w:proofErr w:type="gramEnd"/>
      <w:r w:rsidRPr="007E52B2">
        <w:rPr>
          <w:rFonts w:ascii="Arial" w:hAnsi="Arial" w:cs="Arial"/>
          <w:color w:val="000000"/>
          <w:sz w:val="20"/>
          <w:szCs w:val="20"/>
        </w:rPr>
        <w:t xml:space="preserve"> (WRC-15)</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RR5.499C Намена фреквенцијског опсега 13.4–13.65 GHz служби истраживања свемира на примарној основи је ограничена на: – сателитске системе који раде у служби истраживања свемира (свемир-свемир) на преношењу података од свемирских станица у геостационарној сателитској орбити до припадајућих свемирских станица у негеостационарним сателитским орбитама за које је API (advance publication information) информацију Биро примио пре 27. </w:t>
      </w:r>
      <w:proofErr w:type="gramStart"/>
      <w:r w:rsidRPr="007E52B2">
        <w:rPr>
          <w:rFonts w:ascii="Arial" w:hAnsi="Arial" w:cs="Arial"/>
          <w:color w:val="000000"/>
          <w:sz w:val="20"/>
          <w:szCs w:val="20"/>
        </w:rPr>
        <w:t>новембра</w:t>
      </w:r>
      <w:proofErr w:type="gramEnd"/>
      <w:r w:rsidRPr="007E52B2">
        <w:rPr>
          <w:rFonts w:ascii="Arial" w:hAnsi="Arial" w:cs="Arial"/>
          <w:color w:val="000000"/>
          <w:sz w:val="20"/>
          <w:szCs w:val="20"/>
        </w:rPr>
        <w:t xml:space="preserve"> 2015. </w:t>
      </w:r>
      <w:proofErr w:type="gramStart"/>
      <w:r w:rsidRPr="007E52B2">
        <w:rPr>
          <w:rFonts w:ascii="Arial" w:hAnsi="Arial" w:cs="Arial"/>
          <w:color w:val="000000"/>
          <w:sz w:val="20"/>
          <w:szCs w:val="20"/>
        </w:rPr>
        <w:t>године</w:t>
      </w:r>
      <w:proofErr w:type="gramEnd"/>
      <w:r w:rsidRPr="007E52B2">
        <w:rPr>
          <w:rFonts w:ascii="Arial" w:hAnsi="Arial" w:cs="Arial"/>
          <w:color w:val="000000"/>
          <w:sz w:val="20"/>
          <w:szCs w:val="20"/>
        </w:rPr>
        <w:t xml:space="preserve">, – активне сензоре у свемиру, – сателитске системе који раде у служби истраживања свемира (свемир-Земља) на преношењу података од свемирских станица у геостационарној сателитској орбити до припадајућих земаљских станица. </w:t>
      </w:r>
      <w:proofErr w:type="gramStart"/>
      <w:r w:rsidRPr="007E52B2">
        <w:rPr>
          <w:rFonts w:ascii="Arial" w:hAnsi="Arial" w:cs="Arial"/>
          <w:color w:val="000000"/>
          <w:sz w:val="20"/>
          <w:szCs w:val="20"/>
        </w:rPr>
        <w:t>Остале употребе овог опсега од стране службе истраживања свемира су на секундарној основи.</w:t>
      </w:r>
      <w:proofErr w:type="gramEnd"/>
      <w:r w:rsidRPr="007E52B2">
        <w:rPr>
          <w:rFonts w:ascii="Arial" w:hAnsi="Arial" w:cs="Arial"/>
          <w:color w:val="000000"/>
          <w:sz w:val="20"/>
          <w:szCs w:val="20"/>
        </w:rPr>
        <w:t xml:space="preserve"> (WRC-15)</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5.499D У фреквенцијском опсегу 13.4–13.65 GHz, сателитски системи у служби истраживања свемира (свемир-Земља) и/или служби истраживања свемира (свемир-свемир) не смеју да изазивају штетне сметње станицама у фиксној, мобилној, радиолокацијској служби и сателитској служби истраживања Земље (активна), нити да захтевају заштиту од истих. (WRC-15)</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5.501A Намена опсега 13.65–13.75 GHz за службу истраживања свемира на примарној основи је ограничена на активне сензоре на свемирским летелицама.</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Остала коришћења опсега од стране службе истраживања свемира су на секундарној основи.</w:t>
      </w:r>
      <w:proofErr w:type="gramEnd"/>
      <w:r w:rsidRPr="007E52B2">
        <w:rPr>
          <w:rFonts w:ascii="Arial" w:hAnsi="Arial" w:cs="Arial"/>
          <w:color w:val="000000"/>
          <w:sz w:val="20"/>
          <w:szCs w:val="20"/>
        </w:rPr>
        <w:t xml:space="preserve"> (WRC-15)</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5.501B У опсегу 13.40–13.75 GHz сателитска службе истраживања Земље (активна) и служба истраживања свемира (активна) не сме да изазива штетне сметње радиолокацијској служби, нити да ограничава њено коришћење и развој.</w:t>
      </w:r>
      <w:proofErr w:type="gramEnd"/>
      <w:r w:rsidRPr="007E52B2">
        <w:rPr>
          <w:rFonts w:ascii="Arial" w:hAnsi="Arial" w:cs="Arial"/>
          <w:color w:val="000000"/>
          <w:sz w:val="20"/>
          <w:szCs w:val="20"/>
        </w:rPr>
        <w:t xml:space="preserve"> (WRC-97)</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5.502 У опсегу 13.75–14 GHz, земаљска станица у геостационарној мрежи у фиксној сателитској служби треба да има минимални пречник антене од 1</w:t>
      </w:r>
      <w:proofErr w:type="gramStart"/>
      <w:r w:rsidRPr="007E52B2">
        <w:rPr>
          <w:rFonts w:ascii="Arial" w:hAnsi="Arial" w:cs="Arial"/>
          <w:color w:val="000000"/>
          <w:sz w:val="20"/>
          <w:szCs w:val="20"/>
        </w:rPr>
        <w:t>,2</w:t>
      </w:r>
      <w:proofErr w:type="gramEnd"/>
      <w:r w:rsidRPr="007E52B2">
        <w:rPr>
          <w:rFonts w:ascii="Arial" w:hAnsi="Arial" w:cs="Arial"/>
          <w:color w:val="000000"/>
          <w:sz w:val="20"/>
          <w:szCs w:val="20"/>
        </w:rPr>
        <w:t xml:space="preserve"> m а земаљска станица у не-геостационарном систему у фиксној сателитској служби треба да има минимални пречник антене од 4,5 m. Додатно, средња вредност e.i.r.p. у току једне секунде израчена од станице у радиолокацијској или радионавигацијској служби не сме да буде већа од 59 dBW за елевационе углове изнад 2° и 65 dBW на мањим угловима. Пре него што администрација пусти у рад земаљску станицу у геостационарној-сателитској мрежи у фиксној сателитској служби у овом опсегу са антеном мањом од 4,5 m, треба да осигура да произведена густина флукса снаге земаљске станице не буде већа од:</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lastRenderedPageBreak/>
        <w:t xml:space="preserve">– 115 </w:t>
      </w:r>
      <w:proofErr w:type="gramStart"/>
      <w:r w:rsidRPr="007E52B2">
        <w:rPr>
          <w:rFonts w:ascii="Arial" w:hAnsi="Arial" w:cs="Arial"/>
          <w:color w:val="000000"/>
          <w:sz w:val="20"/>
          <w:szCs w:val="20"/>
        </w:rPr>
        <w:t>dB(</w:t>
      </w:r>
      <w:proofErr w:type="gramEnd"/>
      <w:r w:rsidRPr="007E52B2">
        <w:rPr>
          <w:rFonts w:ascii="Arial" w:hAnsi="Arial" w:cs="Arial"/>
          <w:color w:val="000000"/>
          <w:sz w:val="20"/>
          <w:szCs w:val="20"/>
        </w:rPr>
        <w:t>W/(m</w:t>
      </w:r>
      <w:r w:rsidRPr="007E52B2">
        <w:rPr>
          <w:rFonts w:ascii="Arial" w:hAnsi="Arial" w:cs="Arial"/>
          <w:color w:val="000000"/>
          <w:sz w:val="20"/>
          <w:szCs w:val="20"/>
          <w:vertAlign w:val="superscript"/>
        </w:rPr>
        <w:t>2 </w:t>
      </w:r>
      <w:r w:rsidRPr="007E52B2">
        <w:rPr>
          <w:rFonts w:ascii="Arial" w:hAnsi="Arial" w:cs="Arial"/>
          <w:color w:val="000000"/>
          <w:sz w:val="20"/>
          <w:szCs w:val="20"/>
        </w:rPr>
        <w:t>·10 MHz)) више од 1% времена на 36 m изнад нивоа мора при ниском водостају, у складу са званичним параметрима обалне државе;</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 115 </w:t>
      </w:r>
      <w:proofErr w:type="gramStart"/>
      <w:r w:rsidRPr="007E52B2">
        <w:rPr>
          <w:rFonts w:ascii="Arial" w:hAnsi="Arial" w:cs="Arial"/>
          <w:color w:val="000000"/>
          <w:sz w:val="20"/>
          <w:szCs w:val="20"/>
        </w:rPr>
        <w:t>dB(</w:t>
      </w:r>
      <w:proofErr w:type="gramEnd"/>
      <w:r w:rsidRPr="007E52B2">
        <w:rPr>
          <w:rFonts w:ascii="Arial" w:hAnsi="Arial" w:cs="Arial"/>
          <w:color w:val="000000"/>
          <w:sz w:val="20"/>
          <w:szCs w:val="20"/>
        </w:rPr>
        <w:t>W/(m</w:t>
      </w:r>
      <w:r w:rsidRPr="007E52B2">
        <w:rPr>
          <w:rFonts w:ascii="Arial" w:hAnsi="Arial" w:cs="Arial"/>
          <w:color w:val="000000"/>
          <w:sz w:val="20"/>
          <w:szCs w:val="20"/>
          <w:vertAlign w:val="superscript"/>
        </w:rPr>
        <w:t>2</w:t>
      </w:r>
      <w:r w:rsidRPr="007E52B2">
        <w:rPr>
          <w:rFonts w:ascii="Arial" w:hAnsi="Arial" w:cs="Arial"/>
          <w:color w:val="000000"/>
          <w:sz w:val="20"/>
          <w:szCs w:val="20"/>
        </w:rPr>
        <w:t> ·10 MHz)) више од 1% времена на 3 m изнад земље на граници територије администрације која употребљава или планира да употреби копнене мобилне радаре у овом опсегу, уколико претходно није постигнут другачији споразум.</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За земаљске станице у фиксној сателитској служби које имају антену пречника од 4,5 m или више, e.i.r.p. сваке емисије треба да буде најмање 68 dBW и не треба да буде већи од 85 dBW. (WRC-03)</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5.504A У опсегу 14–14.5 GHz, земаљске станице на ваздухопловима у секундарној ваздухопловној мобилној сателитској служби могу такође да комуницирају са свемирским станицама у фиксној сателитској служби.</w:t>
      </w:r>
      <w:proofErr w:type="gramEnd"/>
      <w:r w:rsidRPr="007E52B2">
        <w:rPr>
          <w:rFonts w:ascii="Arial" w:hAnsi="Arial" w:cs="Arial"/>
          <w:color w:val="000000"/>
          <w:sz w:val="20"/>
          <w:szCs w:val="20"/>
        </w:rPr>
        <w:t xml:space="preserve"> Примењују се тачке 5.29, 5.30 и 5.31 Правилника. (WRC-03)</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5.504B AES (Aircraft earth station) станице које раде у ваздухопловној мобилно-сателитској служби у фреквенцијском опсегу 14–14.5 GHz морају да задовољавају одредбе Анекса 1, Део С, Препоруке ITU-R M.1643–0, за сваку радио астрономску станицу која врши осматрање у фреквенцијском опсегу 14.47–14.5 GHz, лоцирану на територији Шпаније, Француске, Индије, Италије, Уједињеног Краљевства и Јужноафричке Републике. (WRC-15)</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5.504C У фреквенцијском опсегу 14–14.25 GHz, густина флукса снаге коју било која AES (Aircraft earth station) станица у ваздухопловној мобилно-сателитској служби, произведе на територији држава: Саудијске Арабије, Бахреина, Боцване, Обале Слоноваче, Египта, Гвинеје, Индије, Исламске Републике Иран, Кувајта, Нигерије, Омана, Сиријске Арапске Републике и Туниса, не сме да премаши лимите наведене у Анексу 1, Део B Препоруке ITU-R M.1643–0, осим ако није другачије договорено са администрацијама које су афектиране. Одредбе ове фусноте ни на који начин не оспоравају обавезе ваздухопловне мобилно-сателитске службе да ради као секундарна служба у складу са тачком 5.29 Правилника. (WRC-15)</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RR 5.506 Опсег 14–14.5 GHz може бити коришћен, у оквиру фиксне сателитске службе (Земља-свемир), за спојне везе за радиодифузну сателитску службу, и подлеже координацији са другим мрежама у фиксној сателитској служби. </w:t>
      </w:r>
      <w:proofErr w:type="gramStart"/>
      <w:r w:rsidRPr="007E52B2">
        <w:rPr>
          <w:rFonts w:ascii="Arial" w:hAnsi="Arial" w:cs="Arial"/>
          <w:color w:val="000000"/>
          <w:sz w:val="20"/>
          <w:szCs w:val="20"/>
        </w:rPr>
        <w:t>Овакво коришћење спојних веза је резервисано за државе ван Европе.</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5.506A У опсегу 14–14.5 GHz бродске земаљске станице са e.i.r.p. већом од 21 dBW раде под истим условима као земаљске станице на пловилима, сагласно са Резолуцијом 902 (WRC-03).</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Ова фуснота се не примењује на бродске земаљске станице за које је комплетна информација у складу са Додатком 4 Правилника достављена Бироу за радио-комуникације пре 5.</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јула</w:t>
      </w:r>
      <w:proofErr w:type="gramEnd"/>
      <w:r w:rsidRPr="007E52B2">
        <w:rPr>
          <w:rFonts w:ascii="Arial" w:hAnsi="Arial" w:cs="Arial"/>
          <w:color w:val="000000"/>
          <w:sz w:val="20"/>
          <w:szCs w:val="20"/>
        </w:rPr>
        <w:t xml:space="preserve"> 2003. </w:t>
      </w:r>
      <w:proofErr w:type="gramStart"/>
      <w:r w:rsidRPr="007E52B2">
        <w:rPr>
          <w:rFonts w:ascii="Arial" w:hAnsi="Arial" w:cs="Arial"/>
          <w:color w:val="000000"/>
          <w:sz w:val="20"/>
          <w:szCs w:val="20"/>
        </w:rPr>
        <w:t>године</w:t>
      </w:r>
      <w:proofErr w:type="gramEnd"/>
      <w:r w:rsidRPr="007E52B2">
        <w:rPr>
          <w:rFonts w:ascii="Arial" w:hAnsi="Arial" w:cs="Arial"/>
          <w:color w:val="000000"/>
          <w:sz w:val="20"/>
          <w:szCs w:val="20"/>
        </w:rPr>
        <w:t>. (WRC-03)</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5.506B Земаљске станице на бродовима које комуницирају са свемирским станицама у фиксној сателитској служби могу да раде у фреквенцијском опсегу 14–14.5 GHz, без претходне сагласности Кипра и Малте, уколико испоштују услов минималне удаљености од ових земаља дате у Резолуцији 902 (WRC-03).</w:t>
      </w:r>
      <w:proofErr w:type="gramEnd"/>
      <w:r w:rsidRPr="007E52B2">
        <w:rPr>
          <w:rFonts w:ascii="Arial" w:hAnsi="Arial" w:cs="Arial"/>
          <w:color w:val="000000"/>
          <w:sz w:val="20"/>
          <w:szCs w:val="20"/>
        </w:rPr>
        <w:t xml:space="preserve"> (WRC-15)</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5.508A У фреквенцијском опсегу 14.25–14.3 GHz, густина флукса снаге коју било која AES (Aircraft earth station) станица у ваздухопловној мобилно-сателитској служби, произведе на територији држава: Саудијске Арабије, Бахреина, Боцване, Кине, Обале Слоноваче, Египта, Француске, Гвинеје, Индије, Исламске Републике Иран, Италије, Кувајта, Нигерије, Омана, Сиријске Арапске Републике, Уједињеног Краљевства и Туниса, не сме да премаши лимите наведене у Анексу 1, Део B Препоруке ITU-R M.1643–0, осим ако није другачије договорено са администрацијама које су афектиране. Одредбе ове фусноте ни на који начин не оспоравају обавезе ваздухопловне мобилно-сателитске службе да ради као секундарна служба у складу са тачком 5.29 Правилника. (WRC-15)</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5.509A У опсегу 14.3–14.5 GHz, густина флукса снаге коју било која AES (Aircraft earth station) станица у ваздухопловној мобилно-сателитској служби, произведе на територији држава: Саудијске Арабије, Боцване, Камеруна, Кине, Обале Слоноваче, Египта, Француске, Габона, Гвинеје, Индије, Исламске Републике Иран, Италије, Кувајта, Марока, Нигерије, Омана, Сиријске Арапске Републике, Уједињеног Краљевства, Шри Ланке, Туниса и Вијетнама, не сме да премаши лимите наведене у Анексу 1, Део B Препоруке ITU-R M.1643, осим ако није другачије договорено са администрацијама које су афектиране. Одредбе ове фусноте ни на који начин не оспоравају обавезе ваздухопловне мобилно-сателитске службе да ради као секундарна служба у складу са тачком 5.29 Правилника. (WRC-12)</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5.511А Коришћење опсега 15.43–15.63 GHz од стране фиксне сателитске службе (Земља-свемир) је ограничено на спојне везе у не-геостационарним системима у мобилној сателитској служби, и подлеже координацији сагласно тачки 9.11A Правилника. (WRC-15)</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5.511C Станице које раде у ваздухопловној радионавигацијској служби дужне су да ограниче e.i.r.p. сагласно са Препоруком ITU-R S.1340–0.</w:t>
      </w:r>
      <w:proofErr w:type="gramEnd"/>
      <w:r w:rsidRPr="007E52B2">
        <w:rPr>
          <w:rFonts w:ascii="Arial" w:hAnsi="Arial" w:cs="Arial"/>
          <w:color w:val="000000"/>
          <w:sz w:val="20"/>
          <w:szCs w:val="20"/>
        </w:rPr>
        <w:t xml:space="preserve"> Минимално координационо растојање које се захтева ради заштите ваздухопловне радионавигацијске службе (примењује се одредба тачке 4.10 Правилника) од штетних сметњи од земаљских станица за спојну везу, као и максимална емитована e.i.r.p. према равни локалног хоризонта од стране земаљске станице за спојну везу, треба да je у сагласности са Препоруком ITU-R S.1340–0. (WRC-15)</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5.511E У фреквенцијском опсегу 15.4–15.7 GHz, станице које раде у радиолокацијској служби не смеју да изазивају штетне сметње станицама које раде у ваздухопловној радионавигацијској служби, нити да захтевају заштиту од истих.</w:t>
      </w:r>
      <w:proofErr w:type="gramEnd"/>
      <w:r w:rsidRPr="007E52B2">
        <w:rPr>
          <w:rFonts w:ascii="Arial" w:hAnsi="Arial" w:cs="Arial"/>
          <w:color w:val="000000"/>
          <w:sz w:val="20"/>
          <w:szCs w:val="20"/>
        </w:rPr>
        <w:t xml:space="preserve"> (WRC-12)</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5.511F У циљу заштите радио астрономске службе у фреквенцијском опсегу 15.35–15.4 GHz. радиолокацијске станице које раде у фреквенцијском опсегу 15.4–15.7 GHz не смеју да премаше ниво густине флукса снаге од –156 dB(W/m²) у 50 MHz у оквиру фреквенцијског опсега 15.35–15.4 GHz, на било којој локацији радио астрономске опсерваторије за више од 2 одсто времена. (WRC-12)</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5.513A Активни сензори на свемирским летелицама који раде у опсегу 17.2–17.3 GHz не смеју да изазвају штетне сметње, нити да ограничавају развој радиолокацијске службе и других служби којима је опсег намењен на примарној основи. (WRC-97)</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lastRenderedPageBreak/>
        <w:t>RR 5.516 Коришћење опсега 17.3–18.1 GHz од стране геостационарних сателитских система у фиксној сателитској служби (Земља-свемир) је ограничено на спојне везе за радиодифузну сателитску службу.</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Коришћење опсега 17.30–18.10 GHz (Земља-свемир) за не-геостационарне сателитске системе у фиксној сателитској служби подлеже примени одредаба тачке 9.12 Правилника за координацију са другим не-геостационарним сателитским системима у фиксној сателитској служби.</w:t>
      </w:r>
      <w:proofErr w:type="gramEnd"/>
      <w:r w:rsidRPr="007E52B2">
        <w:rPr>
          <w:rFonts w:ascii="Arial" w:hAnsi="Arial" w:cs="Arial"/>
          <w:color w:val="000000"/>
          <w:sz w:val="20"/>
          <w:szCs w:val="20"/>
        </w:rPr>
        <w:t xml:space="preserve"> Не-геостационарни сателитски системи у фиксној сателитској служби не могу да захтевају заштиту од геостационарних сателитских мрежа у фиксној сателитској служби које раде сагласно са правилником, без обзира на датум када је Бироу достављена информација о завршеној координацији или информација о нотификацији за не-геостационарне сателитске системе у фиксној сателитској служби и информација о завршеној координацији или информација о нотификацији за геостационарне сателитске мреже, при чему се не примењује одредба тачке 5.43А Правилника. Не-геостационарни сателитски системи у фиксној сателитској служби у наведеним опсезима треба да раде тако да свака евантуална неприхватљива сметња настала у току рада, може брзо да се отклони. (WRC-2000)</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5.516A У опсегу 17.3–17.7 GHz земаљске станице у фиксној сателитској служби (свемир-Земља) не могу да захтевају заштиту од земаљских станица намењених спојним везама у радиодифузној сателитској служби које раде у складу са Додатком 30А, нити да постављају било каква ограничења или забране на локацијама спојних веза земаљских станица намењених спојним везама у радиодифузној сателитској служби унутар зоне опслуживања спојних веза. (WRC-03)</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5.516B Следећи опсези су одређени за системе са густо распоређеним земаљским станицама у фиксно сателитскoj служби (HDFSS):</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17.3–17.7 GHz (свемир-Земља) у Региону 1</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18.3–19.3 GHz (свемир-Земља) у Региону 2</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19.7–20.2 GHz (свемир-Земља) у свим Регионима</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39.45–40 GHz (свемир-Земља) у Региону 1</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40–40.5 GHz (свемир-Земља) у свим Регионима</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40.5–42 GHz (свемир-Земља) у Региону 2</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47.5–47.9 GHz (свемир-Земља) у Региону 1</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48.2–48.54 GHz (свемир-Земља) у Региону 1</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49.44–50.2 GHz (свемир-Земља) у Региону 1</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и</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27.5–27.82 GHz (Земља-свемир) у Региону 1</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28.35–28.45 GHz (Земља-свемир) у Региону 2</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28.45–28.94 GHz (Земља-свемир) у свим Регионима</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28.94–29.1 GHz (Земља-свемир) у Региону 2 и 3</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29.25–29.46 GHz (Земља-свемир) у Региону 2</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29.46–30 GHz (Земља-свемир) у свим Регионима</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48.2–50.2 GHz (Земља-свемир) у Региону 2</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Ово не спречава коришћење наведених опсега за друге употребе у оквиру фикснесателитске службе или од стране других служби којима су ови опсези, такође, намењени на примарној основи, при чему Правилник не даје приоритет ниједном кориснику опсега.</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Администрације би требало да узму у обзир горенаведено при разматрању регулаторних одредаба које се односе на наведене опсеге.</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Видети Резолуцију 143 (WRC-03)*.</w:t>
      </w:r>
      <w:proofErr w:type="gramEnd"/>
      <w:r w:rsidRPr="007E52B2">
        <w:rPr>
          <w:rFonts w:ascii="Arial" w:hAnsi="Arial" w:cs="Arial"/>
          <w:color w:val="000000"/>
          <w:sz w:val="20"/>
          <w:szCs w:val="20"/>
        </w:rPr>
        <w:t xml:space="preserve"> (WRC-03) *Напомена: Резолуција је ревидирана на WRC-07</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RR 5.519 Додатна намена: Опсег 18.1–18.3 GHz је такође намењен метеоролошкој сателитској служби (свемир-Земља) на примарној основи. </w:t>
      </w:r>
      <w:proofErr w:type="gramStart"/>
      <w:r w:rsidRPr="007E52B2">
        <w:rPr>
          <w:rFonts w:ascii="Arial" w:hAnsi="Arial" w:cs="Arial"/>
          <w:color w:val="000000"/>
          <w:sz w:val="20"/>
          <w:szCs w:val="20"/>
        </w:rPr>
        <w:t>Његова употреба је ограничена на геостационарне сателите.</w:t>
      </w:r>
      <w:proofErr w:type="gramEnd"/>
      <w:r w:rsidRPr="007E52B2">
        <w:rPr>
          <w:rFonts w:ascii="Arial" w:hAnsi="Arial" w:cs="Arial"/>
          <w:color w:val="000000"/>
          <w:sz w:val="20"/>
          <w:szCs w:val="20"/>
        </w:rPr>
        <w:t xml:space="preserve"> (WRC-07)</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5.520 Коришћење опсега 18.1–18.4 GHz за фиксну сателитску службу (Земља-свемир) је ограничено на спојне везе геостационарних сателитских система у радиодифузној сателитској служби.</w:t>
      </w:r>
      <w:proofErr w:type="gramEnd"/>
      <w:r w:rsidRPr="007E52B2">
        <w:rPr>
          <w:rFonts w:ascii="Arial" w:hAnsi="Arial" w:cs="Arial"/>
          <w:color w:val="000000"/>
          <w:sz w:val="20"/>
          <w:szCs w:val="20"/>
        </w:rPr>
        <w:t xml:space="preserve"> (WRC-2000)</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5.522A Емисије у фиксној служби и фиксној сателитској служби у опсегу 18.6–18.8 GHz су ограничене на вредности дате у тачки 21.5A, односно у тачки 21.16.2 Правилника. (WRC-2000)</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5.522B Коришћење опсега 18.60–18.80 GHz у фиксној сателитској служби је ограничено на геостационарне системе и системе са орбитом чија је висина апогеја већа од 20 000 km. (WRC-2000)</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RR 5.523A Коришћење опсега 18.80–19.30 GHz (свемир-Земља) и 28.60–29.10 GHz (Земља-свемир) од стране геостационарних и не-геостационарних мрежа фиксне сателитске службе подлеже примени одредаба тачке 9.11A, при чему се тачка 22.2 Правилника не примењује. </w:t>
      </w:r>
      <w:proofErr w:type="gramStart"/>
      <w:r w:rsidRPr="007E52B2">
        <w:rPr>
          <w:rFonts w:ascii="Arial" w:hAnsi="Arial" w:cs="Arial"/>
          <w:color w:val="000000"/>
          <w:sz w:val="20"/>
          <w:szCs w:val="20"/>
        </w:rPr>
        <w:t>Администрације за чије је геостационарне сателитске мреже процес координације почео пре 18.</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новембра</w:t>
      </w:r>
      <w:proofErr w:type="gramEnd"/>
      <w:r w:rsidRPr="007E52B2">
        <w:rPr>
          <w:rFonts w:ascii="Arial" w:hAnsi="Arial" w:cs="Arial"/>
          <w:color w:val="000000"/>
          <w:sz w:val="20"/>
          <w:szCs w:val="20"/>
        </w:rPr>
        <w:t xml:space="preserve"> 1995. дужне су да сарађују у највећој могућој мери са администрацијама које су информацију о нотификацији за не-геостационарне сателитске мреже доставиле Бироу до поменутог датума, ради координације у складу са одредбом тачке 9.11A Правилника, како би се постигли резултати који су прихватљиви за све заинтересоване стране. </w:t>
      </w:r>
      <w:proofErr w:type="gramStart"/>
      <w:r w:rsidRPr="007E52B2">
        <w:rPr>
          <w:rFonts w:ascii="Arial" w:hAnsi="Arial" w:cs="Arial"/>
          <w:color w:val="000000"/>
          <w:sz w:val="20"/>
          <w:szCs w:val="20"/>
        </w:rPr>
        <w:t xml:space="preserve">Не-геостационарне сателитске мреже </w:t>
      </w:r>
      <w:r w:rsidRPr="007E52B2">
        <w:rPr>
          <w:rFonts w:ascii="Arial" w:hAnsi="Arial" w:cs="Arial"/>
          <w:color w:val="000000"/>
          <w:sz w:val="20"/>
          <w:szCs w:val="20"/>
        </w:rPr>
        <w:lastRenderedPageBreak/>
        <w:t>не смеју да изазивају неприхватљиве сметње мрежама геостационарне фиксне сателитске службе за које је комплетна информација о нотификацији у складу са Додатком 4 Правилника достављена Бироу пре 18.</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новембра</w:t>
      </w:r>
      <w:proofErr w:type="gramEnd"/>
      <w:r w:rsidRPr="007E52B2">
        <w:rPr>
          <w:rFonts w:ascii="Arial" w:hAnsi="Arial" w:cs="Arial"/>
          <w:color w:val="000000"/>
          <w:sz w:val="20"/>
          <w:szCs w:val="20"/>
        </w:rPr>
        <w:t xml:space="preserve"> 1995. (WRC-97)</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5.523B Коришћење опсега 19.3–19.6 GHz (Земља-свемир) од стране фиксне сателитске службе је ограничено на спојне везе за не-геостационарне сателитске системе у мобилној сателитској служби.</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Такво коришћење подлеже примени одредаба тачке 9.11A, при чему се одредбе тачке 22.2 Правилника не примењују.</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RR 5.523C Одредба тачке 22.2 Правилника наставиће да се примењује у опсезима 19.3–19.6 GHz и 29.1–29.4 GHz између спојних веза мрежа не-геостационарне мобилне сателитске службе и оних мрежа фиксне сателитске службе за које је комплетна информација о координацији, у складу са Додатком 4 Правилника, односно информација о нотификацији достављена Бироу пре 18. </w:t>
      </w:r>
      <w:proofErr w:type="gramStart"/>
      <w:r w:rsidRPr="007E52B2">
        <w:rPr>
          <w:rFonts w:ascii="Arial" w:hAnsi="Arial" w:cs="Arial"/>
          <w:color w:val="000000"/>
          <w:sz w:val="20"/>
          <w:szCs w:val="20"/>
        </w:rPr>
        <w:t>новембра</w:t>
      </w:r>
      <w:proofErr w:type="gramEnd"/>
      <w:r w:rsidRPr="007E52B2">
        <w:rPr>
          <w:rFonts w:ascii="Arial" w:hAnsi="Arial" w:cs="Arial"/>
          <w:color w:val="000000"/>
          <w:sz w:val="20"/>
          <w:szCs w:val="20"/>
        </w:rPr>
        <w:t xml:space="preserve"> 1995. (WRC-97)</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5.523D Коришћење опсега 19.3–19.7 GHz (свемир-Земља) од стране система геостационарне фиксне сателитске службе и од стране спојних веза за не-геостационарне сателитске системе у мобилној сателитској служби подлеже примени одредбе тачке 9.11A Правилника, али не подлеже примени одредбе тачке 22.2 Правилника. Коришћење овог опсега за остале системе не- геостационарне фиксне сателитске службе, односно за случајеве који су наведени у тачкама 5.523C и 5.523E не подлеже примени одредаба тачке 9.11А Правилника, при чему се и даље примењују поступак из члана 9. (</w:t>
      </w:r>
      <w:proofErr w:type="gramStart"/>
      <w:r w:rsidRPr="007E52B2">
        <w:rPr>
          <w:rFonts w:ascii="Arial" w:hAnsi="Arial" w:cs="Arial"/>
          <w:color w:val="000000"/>
          <w:sz w:val="20"/>
          <w:szCs w:val="20"/>
        </w:rPr>
        <w:t>изузев</w:t>
      </w:r>
      <w:proofErr w:type="gramEnd"/>
      <w:r w:rsidRPr="007E52B2">
        <w:rPr>
          <w:rFonts w:ascii="Arial" w:hAnsi="Arial" w:cs="Arial"/>
          <w:color w:val="000000"/>
          <w:sz w:val="20"/>
          <w:szCs w:val="20"/>
        </w:rPr>
        <w:t xml:space="preserve"> тачке 9.11А) и члана 11, као и одредбе садржане у тачки 22.2 Правилника. (WRC-97)</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RR 5.523E Одредба тачке 22.2 Правилника наставиће да се примењује у опсезима 19.6–19.7 GHz и 29.4–29.5 GHz, између спојних веза мрежа не-геостационарне мобилне сателитске службе и оних мрежа фиксне сателитске службе за коју је комплетна информација о координацији у складу са Додатком 4 Правилника, односно информација о нотификацији достављена Бироу пре 21. </w:t>
      </w:r>
      <w:proofErr w:type="gramStart"/>
      <w:r w:rsidRPr="007E52B2">
        <w:rPr>
          <w:rFonts w:ascii="Arial" w:hAnsi="Arial" w:cs="Arial"/>
          <w:color w:val="000000"/>
          <w:sz w:val="20"/>
          <w:szCs w:val="20"/>
        </w:rPr>
        <w:t>новембра</w:t>
      </w:r>
      <w:proofErr w:type="gramEnd"/>
      <w:r w:rsidRPr="007E52B2">
        <w:rPr>
          <w:rFonts w:ascii="Arial" w:hAnsi="Arial" w:cs="Arial"/>
          <w:color w:val="000000"/>
          <w:sz w:val="20"/>
          <w:szCs w:val="20"/>
        </w:rPr>
        <w:t xml:space="preserve"> 1997. (WRC-97)</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5.525 Ради лакше међурегионалне координације мрежа у мобилним сателитским и фиксним сателитским службама, носиоци у мобилној сателитској служби који су осетљивији на сметње треба да буду смештени у вишим деловима опсега 19.7–20.2 GHz и 29.5–30 GHz, уколико је то могуће.</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5.526 У опсезима 20.10–20.20 GHz и 29.90–30 GHz, мреже које су истовремено у фиксној и мобилној сателитској служби могу да садрже везе између земаљских станица у одређеним или неодређеним тачкама или док су у покрету, преко једног или више сателита за комуникације тачка-тачка или тачка-више тачака.</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5.527 У опсезима 19.7–20.2 GHz и 29.5–30 GHz, одредбе тачке 4.10 Правилника се примењују на мобилну сателитску службу.</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5.527A Рад станица на Земљи у покрету које комуницирају са FSS системима је предмет Резолуције 156 (WRC-15).</w:t>
      </w:r>
      <w:proofErr w:type="gramEnd"/>
      <w:r w:rsidRPr="007E52B2">
        <w:rPr>
          <w:rFonts w:ascii="Arial" w:hAnsi="Arial" w:cs="Arial"/>
          <w:color w:val="000000"/>
          <w:sz w:val="20"/>
          <w:szCs w:val="20"/>
        </w:rPr>
        <w:t xml:space="preserve"> (WRC-15)</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5.528 Намена мобилној сателитској служби је предвиђена за мреже које користе антене уског снопа и друге напредне технологије на свемирским станицама.</w:t>
      </w:r>
      <w:proofErr w:type="gramEnd"/>
      <w:r w:rsidRPr="007E52B2">
        <w:rPr>
          <w:rFonts w:ascii="Arial" w:hAnsi="Arial" w:cs="Arial"/>
          <w:color w:val="000000"/>
          <w:sz w:val="20"/>
          <w:szCs w:val="20"/>
        </w:rPr>
        <w:t xml:space="preserve"> Администрације чији системи мобилне сателитске службе раде у опсегу 19.7–20.1 GHz у Региону 2, и у опсегу 20.1–20.2 GHz треба да предузму све мере како би омогућиле континуирану расположивост опсега администрацијама чији фиксни и мобилни системи раде у складу са тачком 5.524.</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RR 5.530A Уколико није другачије договорено између датих администрација, ниједна станица у фиксној или мобилној служби једне администрације неће производити густину флукса снаге која превазилази 120,4 dB(W/(m² · MHz)) на 3 m изнад тла, ни на једној тачки територије ниједне друге администрације из Региона 1 и 3 више од 20% времена. </w:t>
      </w:r>
      <w:proofErr w:type="gramStart"/>
      <w:r w:rsidRPr="007E52B2">
        <w:rPr>
          <w:rFonts w:ascii="Arial" w:hAnsi="Arial" w:cs="Arial"/>
          <w:color w:val="000000"/>
          <w:sz w:val="20"/>
          <w:szCs w:val="20"/>
        </w:rPr>
        <w:t>При извођењу прорачуна, администрације би требало да примењују најновију верзију Препорука ITU-R P.452 (видети најновију верзију Препорука ITU-R BO.1898).</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(WRC-15).</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RR 5.530B У опсегу 21.4–22 GHz, да би поспешиле развој сателитске радиодифузне службе, администрацијама у Регионима 1 и 3 се препоручује да не користе станице у мобилној служби и да ограниче коришћење станица у фиксној служби за везе тачка-тачка. </w:t>
      </w:r>
      <w:proofErr w:type="gramStart"/>
      <w:r w:rsidRPr="007E52B2">
        <w:rPr>
          <w:rFonts w:ascii="Arial" w:hAnsi="Arial" w:cs="Arial"/>
          <w:color w:val="000000"/>
          <w:sz w:val="20"/>
          <w:szCs w:val="20"/>
        </w:rPr>
        <w:t>(WRC-12).</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5.532 Коришћење опсега 22.21–22.5 GHz за службе истраживања Земље сателитом (пасивно) и истраживања свемира (пасивно) не смеју да намећу ограничења на фиксне и мобилне службе, изузев ваздухопловне мобилне службе.</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5.532AB Фреквенцијски опсег 24.25–27.5 GHz je идентификован за коришћење од стране администрација које желе да имплементирају земаљску компоненту Међународних мобилних телекомуникација (IMT).</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Ова идентификација не спречава коришћење овог фреквенцијског опсега од стране било које примене служби којима је он намењен и не успоставља приоритет у Правилнику. Примењује се Резолуција 224 (WRC-19).</w:t>
      </w:r>
      <w:proofErr w:type="gramEnd"/>
      <w:r w:rsidRPr="007E52B2">
        <w:rPr>
          <w:rFonts w:ascii="Arial" w:hAnsi="Arial" w:cs="Arial"/>
          <w:color w:val="000000"/>
          <w:sz w:val="20"/>
          <w:szCs w:val="20"/>
        </w:rPr>
        <w:t xml:space="preserve"> (WRC-19)</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5.532B Коришћење опсега 24.65–25.25 GHz у Региону 1 и опсега 24.65–24.75 GHz у Региону 3 од стране фиксне сателитске службе (Земља-свемир) је ограничено на станице на Земљи које користе антене са минималним пречником од 4,5 m. (WRC-12)</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5.535A Коришћење опсега 29.1–29.5 GHz (Земља-свемир) за фиксну сателитску службу је ограничено на геостационарне сателитске системе и спојне везе не-геостационарних сателитских система у мобилној сателитској служби.</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Овакво коришћење подлеже одредбама тачке 9.11А, али не и одредбама тачке 22.2.</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Изузетак су случајеви наведени у тачкама 5.523C и 5.523E, код којих овакво коришћење не подлеже тачки 9.11А, али се остале одредбе члана 9.</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и</w:t>
      </w:r>
      <w:proofErr w:type="gramEnd"/>
      <w:r w:rsidRPr="007E52B2">
        <w:rPr>
          <w:rFonts w:ascii="Arial" w:hAnsi="Arial" w:cs="Arial"/>
          <w:color w:val="000000"/>
          <w:sz w:val="20"/>
          <w:szCs w:val="20"/>
        </w:rPr>
        <w:t xml:space="preserve"> одредбе члана 11. </w:t>
      </w:r>
      <w:proofErr w:type="gramStart"/>
      <w:r w:rsidRPr="007E52B2">
        <w:rPr>
          <w:rFonts w:ascii="Arial" w:hAnsi="Arial" w:cs="Arial"/>
          <w:color w:val="000000"/>
          <w:sz w:val="20"/>
          <w:szCs w:val="20"/>
        </w:rPr>
        <w:t>примењују</w:t>
      </w:r>
      <w:proofErr w:type="gramEnd"/>
      <w:r w:rsidRPr="007E52B2">
        <w:rPr>
          <w:rFonts w:ascii="Arial" w:hAnsi="Arial" w:cs="Arial"/>
          <w:color w:val="000000"/>
          <w:sz w:val="20"/>
          <w:szCs w:val="20"/>
        </w:rPr>
        <w:t>, као и одредбе тачке 2.22. (WRC-97)</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5.536 Коришћење опсега 25.25–27.5 GHz за међусателитску службу је ограничено на истраживање свемира и примене у истраживању Земље сателитом, као и за пренос података који су производ индустријских и медицинских активности у свемиру.</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5.536A Администрације чије земаљске станице раде у служби истраживања Земље сателитом или у служби истраживања свемира не могу да захтевају заштиту од станица у фиксним и мобилним службама других Администрација. Осим тога, земаљске станице у служби истраживања Земље сателитом или у служби истраживања свемира треба да раде у складу са Препоруком ITU-R SA.1862.</w:t>
      </w:r>
      <w:proofErr w:type="gramEnd"/>
      <w:r w:rsidRPr="007E52B2">
        <w:rPr>
          <w:rFonts w:ascii="Arial" w:hAnsi="Arial" w:cs="Arial"/>
          <w:color w:val="000000"/>
          <w:sz w:val="20"/>
          <w:szCs w:val="20"/>
        </w:rPr>
        <w:t xml:space="preserve"> (WRC-12)</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lastRenderedPageBreak/>
        <w:t xml:space="preserve">RR 5.538 Додатна намена: Опсези 27.500–27.501 GHz и 29.999–30 GHz су такође намењени фиксној сателитској служби (свемир-Земља) на примарној основи за пренос референтног сигнала који служи за контролу снаге узлазне везе. </w:t>
      </w:r>
      <w:proofErr w:type="gramStart"/>
      <w:r w:rsidRPr="007E52B2">
        <w:rPr>
          <w:rFonts w:ascii="Arial" w:hAnsi="Arial" w:cs="Arial"/>
          <w:color w:val="000000"/>
          <w:sz w:val="20"/>
          <w:szCs w:val="20"/>
        </w:rPr>
        <w:t>Еквивалентна изотропно израчена снага (е.i.r.p.) у смеру суседних сателита на геостационарној орбити не сме бити већа од +10 dBW.</w:t>
      </w:r>
      <w:proofErr w:type="gramEnd"/>
      <w:r w:rsidRPr="007E52B2">
        <w:rPr>
          <w:rFonts w:ascii="Arial" w:hAnsi="Arial" w:cs="Arial"/>
          <w:color w:val="000000"/>
          <w:sz w:val="20"/>
          <w:szCs w:val="20"/>
        </w:rPr>
        <w:t xml:space="preserve"> (WRC-07)</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5.539 Опсег 27.5–30 GHz може да се користи за фиксну сателитску службу (Земља-свемир) за обезбеђивање спојних веза за радиодифузну сателитску службу.</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5.540 Додатна намена: опсег 27.501–29.999 GHz је такође намењен фиксној сателитској служби (свемир-Земља) на секундарној основи за пренос референтног сигнала који служи за контролу снаге узлазне везе.</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5.541 У опсегу 28.5–30 GHz сателитска служба истраживања Земље је ограничена на дистрибуцију података између станица и не употребљава се за прикупљање информација путем активних или пасивних сензора.</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RR 5.541A Спојне везе не-геостационарних мрежа у мобилној сателитској служби и геостационарних мрежа у фиксној сателитској служби које раде у опсегу 29.1–29.5 GHz (Земља- свемир) користе адаптивну технику контроле снаге узлазне везе или друге методе за компензацију фединга, тако да се пренос сигнала од земаљских станица одвија са довољним нивоом снаге да се оствари захтевани квалитет везе, али и да се истовремено умањи ниво међусобног ометања између мрежа. </w:t>
      </w:r>
      <w:proofErr w:type="gramStart"/>
      <w:r w:rsidRPr="007E52B2">
        <w:rPr>
          <w:rFonts w:ascii="Arial" w:hAnsi="Arial" w:cs="Arial"/>
          <w:color w:val="000000"/>
          <w:sz w:val="20"/>
          <w:szCs w:val="20"/>
        </w:rPr>
        <w:t>Поменуте методе важе за мреже за које је информација о координацији у складу са Додатком 4 Правилника достављена Бироу после 17.</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маја</w:t>
      </w:r>
      <w:proofErr w:type="gramEnd"/>
      <w:r w:rsidRPr="007E52B2">
        <w:rPr>
          <w:rFonts w:ascii="Arial" w:hAnsi="Arial" w:cs="Arial"/>
          <w:color w:val="000000"/>
          <w:sz w:val="20"/>
          <w:szCs w:val="20"/>
        </w:rPr>
        <w:t xml:space="preserve"> 1996.</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и</w:t>
      </w:r>
      <w:proofErr w:type="gramEnd"/>
      <w:r w:rsidRPr="007E52B2">
        <w:rPr>
          <w:rFonts w:ascii="Arial" w:hAnsi="Arial" w:cs="Arial"/>
          <w:color w:val="000000"/>
          <w:sz w:val="20"/>
          <w:szCs w:val="20"/>
        </w:rPr>
        <w:t xml:space="preserve"> примењују се све док не буду ревидиране на одговарајућој светској конференцији за радио-комуникације. </w:t>
      </w:r>
      <w:proofErr w:type="gramStart"/>
      <w:r w:rsidRPr="007E52B2">
        <w:rPr>
          <w:rFonts w:ascii="Arial" w:hAnsi="Arial" w:cs="Arial"/>
          <w:color w:val="000000"/>
          <w:sz w:val="20"/>
          <w:szCs w:val="20"/>
        </w:rPr>
        <w:t>Администрацијама које су доставиле информацију о координацији у складу са Додатком 4 Правилника пре наведеног датума се препоручује да користе поменуте технике у мери у којој је то могуће.</w:t>
      </w:r>
      <w:proofErr w:type="gramEnd"/>
      <w:r w:rsidRPr="007E52B2">
        <w:rPr>
          <w:rFonts w:ascii="Arial" w:hAnsi="Arial" w:cs="Arial"/>
          <w:color w:val="000000"/>
          <w:sz w:val="20"/>
          <w:szCs w:val="20"/>
        </w:rPr>
        <w:t xml:space="preserve"> (WRC-2000)</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5.543 Опсег 29.95–30 GHz може да се користи за везе свемир-свемир у сателитској служби истраживања Земље за телеметрију, праћење положаја и контролу, на секундарној основи.</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RR 5.543B Намена фиксне службе у фреквенцијском опсегу 31–31.3 GHz је широм света идентификована за коришћење од стране станица на платформама на великој висини (HAPS). </w:t>
      </w:r>
      <w:proofErr w:type="gramStart"/>
      <w:r w:rsidRPr="007E52B2">
        <w:rPr>
          <w:rFonts w:ascii="Arial" w:hAnsi="Arial" w:cs="Arial"/>
          <w:color w:val="000000"/>
          <w:sz w:val="20"/>
          <w:szCs w:val="20"/>
        </w:rPr>
        <w:t>Ова идентификација не спречава коришћење овог фреквенцијског опсега од стране других примена фиксне службе или од стране других служби којима је овај фреквенцијски опсег намењен на ко-примарној основи и не успоставља приоритет у Правилнику. Овакво коришћење намене фиксној служби од стране HAPS мора бити у складу са одредбама Резолуције 167 (WRC-19).</w:t>
      </w:r>
      <w:proofErr w:type="gramEnd"/>
      <w:r w:rsidRPr="007E52B2">
        <w:rPr>
          <w:rFonts w:ascii="Arial" w:hAnsi="Arial" w:cs="Arial"/>
          <w:color w:val="000000"/>
          <w:sz w:val="20"/>
          <w:szCs w:val="20"/>
        </w:rPr>
        <w:t xml:space="preserve"> (WRC-19)</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RR 5.547 За системе са густо распоређеним станицама у оквиру фиксне службе могу се користити опсези: 31.8–33.4 GHz, 37–40 GHz, 40.5–43.5 GHz, 51.4–52.6 GHz, 55.78–59 GHz и 64–66 GHz (видети Резолуцију 75 (WRC-2000). </w:t>
      </w:r>
      <w:proofErr w:type="gramStart"/>
      <w:r w:rsidRPr="007E52B2">
        <w:rPr>
          <w:rFonts w:ascii="Arial" w:hAnsi="Arial" w:cs="Arial"/>
          <w:color w:val="000000"/>
          <w:sz w:val="20"/>
          <w:szCs w:val="20"/>
        </w:rPr>
        <w:t>Администрације горепоменуто треба да узму у обзир када разматрају регулаторне одредбе у вези са овим опсезима.</w:t>
      </w:r>
      <w:proofErr w:type="gramEnd"/>
      <w:r w:rsidRPr="007E52B2">
        <w:rPr>
          <w:rFonts w:ascii="Arial" w:hAnsi="Arial" w:cs="Arial"/>
          <w:color w:val="000000"/>
          <w:sz w:val="20"/>
          <w:szCs w:val="20"/>
        </w:rPr>
        <w:t xml:space="preserve"> С обзиром да постоји могућности коришћења опсега 39.5–40 GHz и 40.5–42 GHz за системе са густо распоређеним земаљским станицама у оквиру фиксне сателитске службе (видети тачку 5.516В), администрације треба да узму у обзир евентуална ограничења која би тиме била наметнута системима са густо распоређеним станицама у фиксној служби. (WRC-07)</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5.547A Администрације треба да предузму мере како би максимално умањиле евентуалне сметње између станица у фиксној служби и станица на летелицама у радионавигацијској служби у опсегу 31.8–33.4 GHz, узимајући у обзир оперативне потребе радарских система на летелицама.</w:t>
      </w:r>
      <w:proofErr w:type="gramEnd"/>
      <w:r w:rsidRPr="007E52B2">
        <w:rPr>
          <w:rFonts w:ascii="Arial" w:hAnsi="Arial" w:cs="Arial"/>
          <w:color w:val="000000"/>
          <w:sz w:val="20"/>
          <w:szCs w:val="20"/>
        </w:rPr>
        <w:t xml:space="preserve"> (WRC-2000)</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5.548 Приликом пројектовања система међусателитске службе у опсегу 32.3–33 GHz, радио- навигацијске службе у опсегу 32–33 GHz, и службе истраживања свемира (далеки свемир) у опсегу 31.8–32.3 GHz, администрације примењују све потребне мере у циљу спречавања штетних сметњи између ових служби, водећи рачуна о безбедносним аспектима радио-навигацијске службе (видети Препоруку 707). (WRC-03)</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5.549A У опсегу 35.5–36 GHz, средња густина флукса снаге на површини Земље, коју ствара било који сензор на свемирским летелицама у служби истраживања Земље (активно) или служби истраживања свемира (активно), за било који угао већи од 0,8° рачунато од средине снопа, не сме да буде већа од –73,3 dB(W/m2) у овом опсегу. (WRC-03)</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5.550А На заједничко коришћење опсега 36–37 GHz за службу истраживања Земље сателитом (пасивно) и фиксну и мобилну службу, примењује се Резолуција 752 (WRC-07).</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5.550B Фреквенцијски опсег 37–43.5 GHz, или његови делови, идентификован је за коришћење од стране администрација које желе да имплементирају земаљску компоненту Међународних мобилних телекомуникација (IMT).</w:t>
      </w:r>
      <w:proofErr w:type="gramEnd"/>
      <w:r w:rsidRPr="007E52B2">
        <w:rPr>
          <w:rFonts w:ascii="Arial" w:hAnsi="Arial" w:cs="Arial"/>
          <w:color w:val="000000"/>
          <w:sz w:val="20"/>
          <w:szCs w:val="20"/>
        </w:rPr>
        <w:t xml:space="preserve"> Ова идентификација не спречава коришћење овог фреквенцијског опсега од стране било које примене служби којима је он намењен и не успоставља приоритет у Правилнику. Због могућег развоја FSS станица на Земљи у фреквенцијском опсегу 37.5–42.5 GHz и примена велике густине у фиксној-сателитској служби у фреквенцијском опсегу 39.5–40 GHz у Региону 1, 40–40.5 GHz у свим регионима и 40.5–42 GHz у Региону 2 (видети напомену 5.516B), администрације треба додатно да узму у обзир могућа ограничења према IMT у овим фреквенцијским опсезима, на одговарајући начин. </w:t>
      </w:r>
      <w:proofErr w:type="gramStart"/>
      <w:r w:rsidRPr="007E52B2">
        <w:rPr>
          <w:rFonts w:ascii="Arial" w:hAnsi="Arial" w:cs="Arial"/>
          <w:color w:val="000000"/>
          <w:sz w:val="20"/>
          <w:szCs w:val="20"/>
        </w:rPr>
        <w:t>Примењује се Резолуција 243 (WRC-19).</w:t>
      </w:r>
      <w:proofErr w:type="gramEnd"/>
      <w:r w:rsidRPr="007E52B2">
        <w:rPr>
          <w:rFonts w:ascii="Arial" w:hAnsi="Arial" w:cs="Arial"/>
          <w:color w:val="000000"/>
          <w:sz w:val="20"/>
          <w:szCs w:val="20"/>
        </w:rPr>
        <w:t xml:space="preserve"> (WRC-19)</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5.550C Коришћење фреквенцијских опсега 37.5–39.5 GHz (свемир-Земља), 39.5–42.5 GHz (свемир-Земља), 47.2–50.2 GHz (Земља-свемир) и 50.4–51.4 GHz (Земља-свемир) од стране негеостационарних сателитских система у фиксној сателитској служби је предмет примене одредбе напомене 9.12 Правилника за координацију са другим не-геостационарним сателитским системима у фиксној сателитској служби, али не и са не-геостационарним сателитским системима у другим службама. Примењује се такође и Резолуција 770 (WRC-19), и наставља се примена напомене 22.2 Правилника. (WRC-19)</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lastRenderedPageBreak/>
        <w:t>RR 5.551H Еквивалентна густина флукса снагe (epfd) која потиче од свих свемирских станица било ког не-геостационарног сателитског система у фиксној сателитској служби (свемир-Земља) у опсегу 42.5–43.5 GHz или у радиодифузној сателитској служби у опсегу 42–42.5 GHz, мерена на месту радио- астрономских станица не сме бити већа од следећих вредности више од 2% времена:</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–230 dB(W/m</w:t>
      </w:r>
      <w:r w:rsidRPr="007E52B2">
        <w:rPr>
          <w:rFonts w:ascii="Arial" w:hAnsi="Arial" w:cs="Arial"/>
          <w:color w:val="000000"/>
          <w:sz w:val="20"/>
          <w:szCs w:val="20"/>
          <w:vertAlign w:val="superscript"/>
        </w:rPr>
        <w:t>2</w:t>
      </w:r>
      <w:r w:rsidRPr="007E52B2">
        <w:rPr>
          <w:rFonts w:ascii="Arial" w:hAnsi="Arial" w:cs="Arial"/>
          <w:color w:val="000000"/>
          <w:sz w:val="20"/>
          <w:szCs w:val="20"/>
        </w:rPr>
        <w:t>) у 1 GHz и -246 dB(W/m</w:t>
      </w:r>
      <w:r w:rsidRPr="007E52B2">
        <w:rPr>
          <w:rFonts w:ascii="Arial" w:hAnsi="Arial" w:cs="Arial"/>
          <w:color w:val="000000"/>
          <w:sz w:val="20"/>
          <w:szCs w:val="20"/>
          <w:vertAlign w:val="superscript"/>
        </w:rPr>
        <w:t>2</w:t>
      </w:r>
      <w:r w:rsidRPr="007E52B2">
        <w:rPr>
          <w:rFonts w:ascii="Arial" w:hAnsi="Arial" w:cs="Arial"/>
          <w:color w:val="000000"/>
          <w:sz w:val="20"/>
          <w:szCs w:val="20"/>
        </w:rPr>
        <w:t>) у било којих 500 kHz опсега 42.5–43.5 GHz на локацији било које радио-астрономске станице регистроване као радио телескоп са једном параболичном антеном (single-dish telescope); и</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–209 dB(W/m</w:t>
      </w:r>
      <w:r w:rsidRPr="007E52B2">
        <w:rPr>
          <w:rFonts w:ascii="Arial" w:hAnsi="Arial" w:cs="Arial"/>
          <w:color w:val="000000"/>
          <w:sz w:val="20"/>
          <w:szCs w:val="20"/>
          <w:vertAlign w:val="superscript"/>
        </w:rPr>
        <w:t>2</w:t>
      </w:r>
      <w:r w:rsidRPr="007E52B2">
        <w:rPr>
          <w:rFonts w:ascii="Arial" w:hAnsi="Arial" w:cs="Arial"/>
          <w:color w:val="000000"/>
          <w:sz w:val="20"/>
          <w:szCs w:val="20"/>
        </w:rPr>
        <w:t>) у било којих 500 kHz опсега 42.5–43.5 GHz на локацији било које радио-астрономске станице регистроване као интерферометријски радио телескоп (very long baseline interferometry – VLBI)</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Еквивалентне густине флукса снагe (epfd) се процењују према методологији из Препоруке ITU-R S. 1586–1, при чему су референтни дијаграм зрачења и максимални добитак антене у радио-астрономској служби дати у Препоруци ITU-R RA.1631–0 а примењују се на целом небу за елевационе углове веће од минималног радног угла θ</w:t>
      </w:r>
      <w:r w:rsidRPr="007E52B2">
        <w:rPr>
          <w:rFonts w:ascii="Arial" w:hAnsi="Arial" w:cs="Arial"/>
          <w:i/>
          <w:iCs/>
          <w:color w:val="000000"/>
          <w:sz w:val="20"/>
          <w:szCs w:val="20"/>
        </w:rPr>
        <w:t>min </w:t>
      </w:r>
      <w:r w:rsidRPr="007E52B2">
        <w:rPr>
          <w:rFonts w:ascii="Arial" w:hAnsi="Arial" w:cs="Arial"/>
          <w:color w:val="000000"/>
          <w:sz w:val="20"/>
          <w:szCs w:val="20"/>
        </w:rPr>
        <w:t>радио-телескопа (у случају да информација није достављена усваја се вредност од 5°).</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Наведене граничне вредности се примењују на месту сваке радио-астрономске станице која </w:t>
      </w:r>
      <w:proofErr w:type="gramStart"/>
      <w:r w:rsidRPr="007E52B2">
        <w:rPr>
          <w:rFonts w:ascii="Arial" w:hAnsi="Arial" w:cs="Arial"/>
          <w:color w:val="000000"/>
          <w:sz w:val="20"/>
          <w:szCs w:val="20"/>
        </w:rPr>
        <w:t>је :</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била</w:t>
      </w:r>
      <w:proofErr w:type="gramEnd"/>
      <w:r w:rsidRPr="007E52B2">
        <w:rPr>
          <w:rFonts w:ascii="Arial" w:hAnsi="Arial" w:cs="Arial"/>
          <w:color w:val="000000"/>
          <w:sz w:val="20"/>
          <w:szCs w:val="20"/>
        </w:rPr>
        <w:t xml:space="preserve"> у функцији пре 5. </w:t>
      </w:r>
      <w:proofErr w:type="gramStart"/>
      <w:r w:rsidRPr="007E52B2">
        <w:rPr>
          <w:rFonts w:ascii="Arial" w:hAnsi="Arial" w:cs="Arial"/>
          <w:color w:val="000000"/>
          <w:sz w:val="20"/>
          <w:szCs w:val="20"/>
        </w:rPr>
        <w:t>јула</w:t>
      </w:r>
      <w:proofErr w:type="gramEnd"/>
      <w:r w:rsidRPr="007E52B2">
        <w:rPr>
          <w:rFonts w:ascii="Arial" w:hAnsi="Arial" w:cs="Arial"/>
          <w:color w:val="000000"/>
          <w:sz w:val="20"/>
          <w:szCs w:val="20"/>
        </w:rPr>
        <w:t xml:space="preserve"> 2003. </w:t>
      </w:r>
      <w:proofErr w:type="gramStart"/>
      <w:r w:rsidRPr="007E52B2">
        <w:rPr>
          <w:rFonts w:ascii="Arial" w:hAnsi="Arial" w:cs="Arial"/>
          <w:color w:val="000000"/>
          <w:sz w:val="20"/>
          <w:szCs w:val="20"/>
        </w:rPr>
        <w:t>и</w:t>
      </w:r>
      <w:proofErr w:type="gramEnd"/>
      <w:r w:rsidRPr="007E52B2">
        <w:rPr>
          <w:rFonts w:ascii="Arial" w:hAnsi="Arial" w:cs="Arial"/>
          <w:color w:val="000000"/>
          <w:sz w:val="20"/>
          <w:szCs w:val="20"/>
        </w:rPr>
        <w:t xml:space="preserve"> која је нотификована Бироу пре 4. </w:t>
      </w:r>
      <w:proofErr w:type="gramStart"/>
      <w:r w:rsidRPr="007E52B2">
        <w:rPr>
          <w:rFonts w:ascii="Arial" w:hAnsi="Arial" w:cs="Arial"/>
          <w:color w:val="000000"/>
          <w:sz w:val="20"/>
          <w:szCs w:val="20"/>
        </w:rPr>
        <w:t>јануара</w:t>
      </w:r>
      <w:proofErr w:type="gramEnd"/>
      <w:r w:rsidRPr="007E52B2">
        <w:rPr>
          <w:rFonts w:ascii="Arial" w:hAnsi="Arial" w:cs="Arial"/>
          <w:color w:val="000000"/>
          <w:sz w:val="20"/>
          <w:szCs w:val="20"/>
        </w:rPr>
        <w:t xml:space="preserve"> 2004. </w:t>
      </w:r>
      <w:proofErr w:type="gramStart"/>
      <w:r w:rsidRPr="007E52B2">
        <w:rPr>
          <w:rFonts w:ascii="Arial" w:hAnsi="Arial" w:cs="Arial"/>
          <w:color w:val="000000"/>
          <w:sz w:val="20"/>
          <w:szCs w:val="20"/>
        </w:rPr>
        <w:t>године</w:t>
      </w:r>
      <w:proofErr w:type="gramEnd"/>
      <w:r w:rsidRPr="007E52B2">
        <w:rPr>
          <w:rFonts w:ascii="Arial" w:hAnsi="Arial" w:cs="Arial"/>
          <w:color w:val="000000"/>
          <w:sz w:val="20"/>
          <w:szCs w:val="20"/>
        </w:rPr>
        <w:t xml:space="preserve"> или</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била</w:t>
      </w:r>
      <w:proofErr w:type="gramEnd"/>
      <w:r w:rsidRPr="007E52B2">
        <w:rPr>
          <w:rFonts w:ascii="Arial" w:hAnsi="Arial" w:cs="Arial"/>
          <w:color w:val="000000"/>
          <w:sz w:val="20"/>
          <w:szCs w:val="20"/>
        </w:rPr>
        <w:t xml:space="preserve"> нотификована пре него што је Бироу достављена комплетна информација о координацији односно нотификацији у складу са Додатком 4 Правилника за свемирску станицу на коју се примењују ова ограничења.</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Остале радио-астрономске станице нотификоване после ових датума могу да преговарају ради постизања споразума са администрацијама које су одобриле рад свемирских станица.</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У региону 2 примењује се Резолуција 743 (WRC-03).</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Ограничења наведена у овој тачки могу бити прекорачена на локацији радио-астрономске станице сваке земље чија се администрација сложи.</w:t>
      </w:r>
      <w:proofErr w:type="gramEnd"/>
      <w:r w:rsidRPr="007E52B2">
        <w:rPr>
          <w:rFonts w:ascii="Arial" w:hAnsi="Arial" w:cs="Arial"/>
          <w:color w:val="000000"/>
          <w:sz w:val="20"/>
          <w:szCs w:val="20"/>
        </w:rPr>
        <w:t xml:space="preserve"> (WRC-15)</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5.551I Густина флукса снаге коју ствара било која геостационарна свемирска станица у фиксној сателитској служби (свемир-Земља) у опсегу 42.5–43.5 GHz, или у радиодифузној сателитској служби (свемир-Земља) у опсегу 42–42.5 GHz, на месту било које радио-астрономске станице не сме бити већа од:</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–137 dB(W/m</w:t>
      </w:r>
      <w:r w:rsidRPr="007E52B2">
        <w:rPr>
          <w:rFonts w:ascii="Arial" w:hAnsi="Arial" w:cs="Arial"/>
          <w:color w:val="000000"/>
          <w:sz w:val="20"/>
          <w:szCs w:val="20"/>
          <w:vertAlign w:val="superscript"/>
        </w:rPr>
        <w:t>2</w:t>
      </w:r>
      <w:r w:rsidRPr="007E52B2">
        <w:rPr>
          <w:rFonts w:ascii="Arial" w:hAnsi="Arial" w:cs="Arial"/>
          <w:color w:val="000000"/>
          <w:sz w:val="20"/>
          <w:szCs w:val="20"/>
        </w:rPr>
        <w:t>) у 1 GHz и –153 dB(W/m</w:t>
      </w:r>
      <w:r w:rsidRPr="007E52B2">
        <w:rPr>
          <w:rFonts w:ascii="Arial" w:hAnsi="Arial" w:cs="Arial"/>
          <w:color w:val="000000"/>
          <w:sz w:val="20"/>
          <w:szCs w:val="20"/>
          <w:vertAlign w:val="superscript"/>
        </w:rPr>
        <w:t>2</w:t>
      </w:r>
      <w:r w:rsidRPr="007E52B2">
        <w:rPr>
          <w:rFonts w:ascii="Arial" w:hAnsi="Arial" w:cs="Arial"/>
          <w:color w:val="000000"/>
          <w:sz w:val="20"/>
          <w:szCs w:val="20"/>
        </w:rPr>
        <w:t>) у било којих 500 kHz опсега 42.5–43.5 GHz, на локацији било које радио-астрономске станице регистроване као радио телескоп са једном параболичном антеном (single-dish telescope); и</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–116 dB(W/m</w:t>
      </w:r>
      <w:r w:rsidRPr="007E52B2">
        <w:rPr>
          <w:rFonts w:ascii="Arial" w:hAnsi="Arial" w:cs="Arial"/>
          <w:color w:val="000000"/>
          <w:sz w:val="20"/>
          <w:szCs w:val="20"/>
          <w:vertAlign w:val="superscript"/>
        </w:rPr>
        <w:t>2</w:t>
      </w:r>
      <w:r w:rsidRPr="007E52B2">
        <w:rPr>
          <w:rFonts w:ascii="Arial" w:hAnsi="Arial" w:cs="Arial"/>
          <w:color w:val="000000"/>
          <w:sz w:val="20"/>
          <w:szCs w:val="20"/>
        </w:rPr>
        <w:t>) у било којих 500 kHz опсега 42.5–43.5 GHz на локацији било које радио-астрономске станице регистроване као интерферометријски радио телескоп (very long baseline interferometry – VLBI)</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Наведене граничне вредности се примењују на месту сваке радио-астрономске станице која је:</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била</w:t>
      </w:r>
      <w:proofErr w:type="gramEnd"/>
      <w:r w:rsidRPr="007E52B2">
        <w:rPr>
          <w:rFonts w:ascii="Arial" w:hAnsi="Arial" w:cs="Arial"/>
          <w:color w:val="000000"/>
          <w:sz w:val="20"/>
          <w:szCs w:val="20"/>
        </w:rPr>
        <w:t xml:space="preserve"> у функцији пре 5. </w:t>
      </w:r>
      <w:proofErr w:type="gramStart"/>
      <w:r w:rsidRPr="007E52B2">
        <w:rPr>
          <w:rFonts w:ascii="Arial" w:hAnsi="Arial" w:cs="Arial"/>
          <w:color w:val="000000"/>
          <w:sz w:val="20"/>
          <w:szCs w:val="20"/>
        </w:rPr>
        <w:t>јула</w:t>
      </w:r>
      <w:proofErr w:type="gramEnd"/>
      <w:r w:rsidRPr="007E52B2">
        <w:rPr>
          <w:rFonts w:ascii="Arial" w:hAnsi="Arial" w:cs="Arial"/>
          <w:color w:val="000000"/>
          <w:sz w:val="20"/>
          <w:szCs w:val="20"/>
        </w:rPr>
        <w:t xml:space="preserve"> 2003, а која је нотификована Бироу пре 4. </w:t>
      </w:r>
      <w:proofErr w:type="gramStart"/>
      <w:r w:rsidRPr="007E52B2">
        <w:rPr>
          <w:rFonts w:ascii="Arial" w:hAnsi="Arial" w:cs="Arial"/>
          <w:color w:val="000000"/>
          <w:sz w:val="20"/>
          <w:szCs w:val="20"/>
        </w:rPr>
        <w:t>јануара</w:t>
      </w:r>
      <w:proofErr w:type="gramEnd"/>
      <w:r w:rsidRPr="007E52B2">
        <w:rPr>
          <w:rFonts w:ascii="Arial" w:hAnsi="Arial" w:cs="Arial"/>
          <w:color w:val="000000"/>
          <w:sz w:val="20"/>
          <w:szCs w:val="20"/>
        </w:rPr>
        <w:t xml:space="preserve"> 2004. </w:t>
      </w:r>
      <w:proofErr w:type="gramStart"/>
      <w:r w:rsidRPr="007E52B2">
        <w:rPr>
          <w:rFonts w:ascii="Arial" w:hAnsi="Arial" w:cs="Arial"/>
          <w:color w:val="000000"/>
          <w:sz w:val="20"/>
          <w:szCs w:val="20"/>
        </w:rPr>
        <w:t>године</w:t>
      </w:r>
      <w:proofErr w:type="gramEnd"/>
      <w:r w:rsidRPr="007E52B2">
        <w:rPr>
          <w:rFonts w:ascii="Arial" w:hAnsi="Arial" w:cs="Arial"/>
          <w:color w:val="000000"/>
          <w:sz w:val="20"/>
          <w:szCs w:val="20"/>
        </w:rPr>
        <w:t xml:space="preserve"> или</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била</w:t>
      </w:r>
      <w:proofErr w:type="gramEnd"/>
      <w:r w:rsidRPr="007E52B2">
        <w:rPr>
          <w:rFonts w:ascii="Arial" w:hAnsi="Arial" w:cs="Arial"/>
          <w:color w:val="000000"/>
          <w:sz w:val="20"/>
          <w:szCs w:val="20"/>
        </w:rPr>
        <w:t xml:space="preserve"> нотификована пре него што је Бироу достављена комплетна информација о координацији односно нотификацији у складу са Додатком 4 Правилника за свемирску станицу на коју се примењују ограничења.</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Остале радио-астрономске станице нотификоване после наведених датума могу да преговарају ради постизања споразума са администрацијама које су одобриле рад свемирских станица.</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У региону 2 примењује се Резолуција 743 (WRC-03).</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Ограничења наведена у овој тачки могу се прекорачити на локацији радио-астрономске станице сваке земље чија се администрација сложи.</w:t>
      </w:r>
      <w:proofErr w:type="gramEnd"/>
      <w:r w:rsidRPr="007E52B2">
        <w:rPr>
          <w:rFonts w:ascii="Arial" w:hAnsi="Arial" w:cs="Arial"/>
          <w:color w:val="000000"/>
          <w:sz w:val="20"/>
          <w:szCs w:val="20"/>
        </w:rPr>
        <w:t xml:space="preserve"> (WRC-07)</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RR 5.552 Спектар намењен за фиксну сателитску службу у опсезима 42.50–43.50 GHz и 47.20–50.20 GHz за пренос сигнала Земља-свемир је већи него у опсегу 37.50–39.50 GHz за пренос сигнала свемир-Земља због потреба спојних веза за радиодифузне сателите. </w:t>
      </w:r>
      <w:proofErr w:type="gramStart"/>
      <w:r w:rsidRPr="007E52B2">
        <w:rPr>
          <w:rFonts w:ascii="Arial" w:hAnsi="Arial" w:cs="Arial"/>
          <w:color w:val="000000"/>
          <w:sz w:val="20"/>
          <w:szCs w:val="20"/>
        </w:rPr>
        <w:t>Од администрацијама се препоручује да предузму све могуће мере како би резервисале опсег 47.2–49.2 GHz за спојне везе за радиодифузну сателитску службу која ради у опсегу 40.5–42.5 GHz.</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5.552A Опсези 47.2–47.5 GHz и 47.9–48.2 GHz су намењени фиксној служби за станице на платформама на великим висинама.</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Коришћење опсега 47.2–47.5 GHz и 47.9–48.2 GHz подлеже одредбама Резолуције 122 (Rev.WRC-07).</w:t>
      </w:r>
      <w:proofErr w:type="gramEnd"/>
      <w:r w:rsidRPr="007E52B2">
        <w:rPr>
          <w:rFonts w:ascii="Arial" w:hAnsi="Arial" w:cs="Arial"/>
          <w:color w:val="000000"/>
          <w:sz w:val="20"/>
          <w:szCs w:val="20"/>
        </w:rPr>
        <w:t xml:space="preserve"> (WRC-07)</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5.553 У опсезима 43.5–47 GHz и 66–71 GHz, станице у копненој мобилној служби могу да раде под условом да не изазивају штетне сметње свемирским радио-комуникационим службама којима су ови опсези намењени (видети тачку 5.43 Правилника). (WRC-2000)</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5.554 У опсезима 43.5–47GHz, 66–71 GHz, 95–100 GHz, 123–130 GHz, 191.8–200 GHz и 252–265 GHz, сателитске везе које спајају копнене станице у одређеним фиксним тачкама су такође дозвољене када се користе у вези са мобилном сателитском службом или радионавигацијском сателитском службом. (WRC-2000)</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5.554A Коришћење опсега 47.5–47.9 GHz, 48.2–48.54 GHz и 49.44–50.20 GHz од стране фиксне сателитске службе (свемир-Земља) је ограничено на геостационарне сателите.</w:t>
      </w:r>
      <w:proofErr w:type="gramEnd"/>
      <w:r w:rsidRPr="007E52B2">
        <w:rPr>
          <w:rFonts w:ascii="Arial" w:hAnsi="Arial" w:cs="Arial"/>
          <w:color w:val="000000"/>
          <w:sz w:val="20"/>
          <w:szCs w:val="20"/>
        </w:rPr>
        <w:t xml:space="preserve"> (WRC-03)</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5.555 Додатна намена: Опсег 48.94–49.04 GHz је такође намењен радио-астрономској служби на примарној основи. (WRC-2000)</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5.555B Густине флукса снаге у опсегу 48.94–49.04 GHz коју ствара било која геостационарна свемирска станица у фиксној сателитској служби (свемир-Земља) која ради у опсезима 48.2–48.54 GHz и 49.44–50.2 GHz не сме бити већа од –151,8 dB(W/m</w:t>
      </w:r>
      <w:r w:rsidRPr="007E52B2">
        <w:rPr>
          <w:rFonts w:ascii="Arial" w:hAnsi="Arial" w:cs="Arial"/>
          <w:color w:val="000000"/>
          <w:sz w:val="20"/>
          <w:szCs w:val="20"/>
          <w:vertAlign w:val="superscript"/>
        </w:rPr>
        <w:t>2</w:t>
      </w:r>
      <w:r w:rsidRPr="007E52B2">
        <w:rPr>
          <w:rFonts w:ascii="Arial" w:hAnsi="Arial" w:cs="Arial"/>
          <w:color w:val="000000"/>
          <w:sz w:val="20"/>
          <w:szCs w:val="20"/>
        </w:rPr>
        <w:t>) у било којих 500 kHz на локацији било које радио-астрономске станице. (WRC-03)</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lastRenderedPageBreak/>
        <w:t>RR 5.555C Коришћење фреквенцијског опсега 51.4–52.4 GHz од стране фиксне сателитске службе (Земља-свемир) је ограничено на геостационарне сателитске мреже.</w:t>
      </w:r>
      <w:proofErr w:type="gramEnd"/>
      <w:r w:rsidRPr="007E52B2">
        <w:rPr>
          <w:rFonts w:ascii="Arial" w:hAnsi="Arial" w:cs="Arial"/>
          <w:color w:val="000000"/>
          <w:sz w:val="20"/>
          <w:szCs w:val="20"/>
        </w:rPr>
        <w:t xml:space="preserve"> Станице на Земљи морају бити ограничене на гејтвеј станице на Земљи са минималним пречником антене од 2</w:t>
      </w:r>
      <w:proofErr w:type="gramStart"/>
      <w:r w:rsidRPr="007E52B2">
        <w:rPr>
          <w:rFonts w:ascii="Arial" w:hAnsi="Arial" w:cs="Arial"/>
          <w:color w:val="000000"/>
          <w:sz w:val="20"/>
          <w:szCs w:val="20"/>
        </w:rPr>
        <w:t>,4</w:t>
      </w:r>
      <w:proofErr w:type="gramEnd"/>
      <w:r w:rsidRPr="007E52B2">
        <w:rPr>
          <w:rFonts w:ascii="Arial" w:hAnsi="Arial" w:cs="Arial"/>
          <w:color w:val="000000"/>
          <w:sz w:val="20"/>
          <w:szCs w:val="20"/>
        </w:rPr>
        <w:t xml:space="preserve"> m. (WRC-19)</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5.556 У опсезима 51.4–54.25 GHz, 58.2–59 GHz и 64–65 GHz, радиоастрономска осматрања могу се вршити на основу националних прописа. (WRC-2000)</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5.556A Коришћење опсега 54.25–56.9 GHz, 57–58.2 GHz и 59–59.3 GHz од стране међусателитске службе је ограничено на сателите у геостационарно-сателитској орбити.</w:t>
      </w:r>
      <w:proofErr w:type="gramEnd"/>
      <w:r w:rsidRPr="007E52B2">
        <w:rPr>
          <w:rFonts w:ascii="Arial" w:hAnsi="Arial" w:cs="Arial"/>
          <w:color w:val="000000"/>
          <w:sz w:val="20"/>
          <w:szCs w:val="20"/>
        </w:rPr>
        <w:t xml:space="preserve"> Густина флукса снаге на свим висинама од 0 km до 1 000 km изнад Земљине површине коју производи станица међусателитске службе, у свим условима и за све методе модулације, не сме да премаши –147 dB (W/m² /100 MHz) за све упадне углове. (WRC-97)</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5.557A У опсегу 55.78–56.26 GHz, ради заштите станица у служби истраживања Земље сателитом (пасивно), максимална густина снаге предајника на месту пријемне антене станице фиксне службе је ограничена на –26 dB(W/MHz). (WRC-2000)</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5.558 У опсезима 55.78–58.20 GHz, 59–64 GHz, 66–71 GHz, 122.25–123 GHz, 130–134 GHz, 167–174.8 GHz и 191.8–200 GHz станице у ваздухопловној мобилној служби могу да раде под условом да не изазивају штетне сметње међусателитској служби (видети тачку 5.43 Правилника). (WRC-2000)</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5.558A Kоришћење фреквенцијског опсега 56.9–57GHz од стране међу-сателитских система је ограничено на везе између сателита у геостационарним сателитским орбитама и на предају са не-геостационарних сателита у виским орбитама ка не-геостационарним сателитима у ниским орбитама Земље. За везе између сателита у геостационарној орбити густина флукса снаге на свим висинама од 0 km до 1 000 km изнад површине Земље, за све услове и за све врсте примеwене модулације, не сме да пређе вредност –147 dB(W/m</w:t>
      </w:r>
      <w:r w:rsidRPr="007E52B2">
        <w:rPr>
          <w:rFonts w:ascii="Arial" w:hAnsi="Arial" w:cs="Arial"/>
          <w:color w:val="000000"/>
          <w:sz w:val="20"/>
          <w:szCs w:val="20"/>
          <w:vertAlign w:val="superscript"/>
        </w:rPr>
        <w:t>2</w:t>
      </w:r>
      <w:r w:rsidRPr="007E52B2">
        <w:rPr>
          <w:rFonts w:ascii="Arial" w:hAnsi="Arial" w:cs="Arial"/>
          <w:color w:val="000000"/>
          <w:sz w:val="20"/>
          <w:szCs w:val="20"/>
        </w:rPr>
        <w:t> · 100 MHz) за све углове на пријему (WRC-97)</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5.559 У опсегу 59–64 GHz, радари на летелицама у радиолокацијској служби могу да раде под условом да не изазивају штетне сметње међусателитској служби (видети тачку 5.43 Правилника).</w:t>
      </w:r>
      <w:proofErr w:type="gramEnd"/>
      <w:r w:rsidRPr="007E52B2">
        <w:rPr>
          <w:rFonts w:ascii="Arial" w:hAnsi="Arial" w:cs="Arial"/>
          <w:color w:val="000000"/>
          <w:sz w:val="20"/>
          <w:szCs w:val="20"/>
        </w:rPr>
        <w:t xml:space="preserve"> (WRC-2000)</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5.559B Коришћење фреквенцијског опсега 77.5–78 GHz од стране радиолокацијске службе ограничено је на радаре кратког домета за примене на тлу, укључујући и аутомобилске радаре.</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Техничке карактеристике ових радара дате су у најновијој верзији препоруке ITU-R M.2057.</w:t>
      </w:r>
      <w:proofErr w:type="gramEnd"/>
      <w:r w:rsidRPr="007E52B2">
        <w:rPr>
          <w:rFonts w:ascii="Arial" w:hAnsi="Arial" w:cs="Arial"/>
          <w:color w:val="000000"/>
          <w:sz w:val="20"/>
          <w:szCs w:val="20"/>
        </w:rPr>
        <w:t xml:space="preserve"> Не примењује се одредбе напомене 4.10 Правилника. (WRC-15)</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5.560 У опсегу 78–79 GHz радари на свемирским станицама могу да раде на примарној основи у оквиру службе истраживања Земље сателитом и службе истраживања свемира.</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5.561 У опсегу 74–76 GHz, станице у фиксним, мобилним и радиодифузним службама не смеју да изазивају штетне сметње станицама фиксне сателитске службе и станицама радиодифузне сателитске службе које раде у складу са одлукама одговарајуће конференције за планирање фреквенцијских додела за радиодифузну сателитску службу. (WRC-2000)</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5.561A Опсег 81–81.5 GHz је такође намењен аматерској и аматерској сателитској служби на секундарној основи.</w:t>
      </w:r>
      <w:proofErr w:type="gramEnd"/>
      <w:r w:rsidRPr="007E52B2">
        <w:rPr>
          <w:rFonts w:ascii="Arial" w:hAnsi="Arial" w:cs="Arial"/>
          <w:color w:val="000000"/>
          <w:sz w:val="20"/>
          <w:szCs w:val="20"/>
        </w:rPr>
        <w:t xml:space="preserve"> (WRC-2000)</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5.562 Коришћење опсега 94–94.1 GHz од стране службе истраживања Земље сателитом (активно) и службе истраживања свемира (активно) је ограничено на радаре за осматрање облачности, на свемирским летелицама.</w:t>
      </w:r>
      <w:proofErr w:type="gramEnd"/>
      <w:r w:rsidRPr="007E52B2">
        <w:rPr>
          <w:rFonts w:ascii="Arial" w:hAnsi="Arial" w:cs="Arial"/>
          <w:color w:val="000000"/>
          <w:sz w:val="20"/>
          <w:szCs w:val="20"/>
        </w:rPr>
        <w:t xml:space="preserve"> (WRC-97)</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RR 5.562A У опсезима 94–94.1 GHz и 130–134 GHz, услед преноса сигнала од свемирских станица службе истраживања Земље сателитом (активно) који су усмерени ка главном снопу радио-астрономске антене може да дође до оштећења неких радио-астрономских пријемника. </w:t>
      </w:r>
      <w:proofErr w:type="gramStart"/>
      <w:r w:rsidRPr="007E52B2">
        <w:rPr>
          <w:rFonts w:ascii="Arial" w:hAnsi="Arial" w:cs="Arial"/>
          <w:color w:val="000000"/>
          <w:sz w:val="20"/>
          <w:szCs w:val="20"/>
        </w:rPr>
        <w:t>Свемирске агенције које руководе предајницима и радио-астрономским станицама требало би заједно да планирају њихов рад како би се, у највећој могућој мери, избегли такви случајеви.</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(WRC-2000).</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5.562B Намена опсега 105–109.5 GHz, 111.8–114.25 GHz, 155.5–158.5 GHz и 217–226 GHz је ограничена на радио астрономију у свемиру. (WRC-2000)</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5.562C Коришћење опсега 116–122.25 GHz од стране међусателитске службе је ограничено на сателите у геостационарно-сателитској орбити.</w:t>
      </w:r>
      <w:proofErr w:type="gramEnd"/>
      <w:r w:rsidRPr="007E52B2">
        <w:rPr>
          <w:rFonts w:ascii="Arial" w:hAnsi="Arial" w:cs="Arial"/>
          <w:color w:val="000000"/>
          <w:sz w:val="20"/>
          <w:szCs w:val="20"/>
        </w:rPr>
        <w:t xml:space="preserve"> Густина флукса снаге на свим висинама од 0 km до 1 000 km изнад Земљине површине и у близини свих позиција у геостационарној орбити на којима се налазе пасивни сензори, коју производи станица међусателитске службе у свим условима и за све методе модулације, не сме да премаши –148 dB (W/ (m² · MHz)) за све упадне углове. (WRC-2000)</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5.562E Намена за службу истраживања Земље сателитом (активна) ограничена је на опсег 133.5–134 GHz. (WRC-2000)</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5.562H Коришћење опсега 174.8–182 GHz и 185–190 GHz од стране међусателитске службе је ограничено на сателите у геостационарно-сателитској орбити.</w:t>
      </w:r>
      <w:proofErr w:type="gramEnd"/>
      <w:r w:rsidRPr="007E52B2">
        <w:rPr>
          <w:rFonts w:ascii="Arial" w:hAnsi="Arial" w:cs="Arial"/>
          <w:color w:val="000000"/>
          <w:sz w:val="20"/>
          <w:szCs w:val="20"/>
        </w:rPr>
        <w:t xml:space="preserve"> Густина флукса снаге на свим висинама од 0 km до 1 000 km изнад Земљине површине и у близини свих позиција у геостационарној орбити на којима се налазе пасивни сензори, коју производи станица међусателитске службе у свим условима и за све методе модулације, не сме да премаши –144 dB (W/(m² · MHz)) за све упадне углове. (WRC-2000)</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5.563A У опсезима 200–209 GHz, 235–238 GHz, 250–252 GHz и 265–275 GHz, се врши пасивно праћење атмосферских прилика са земље у циљу контролисања атмосферског састава. (WRC-2000)</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RR 5.563B Опсег 237.9–238 GHz је, такође, намењен за службу истраживања Земље сателитом (активна) и службу истраживања свемира (активна) и то само за радаре за осматрање облачности на свемирским летелицама.</w:t>
      </w:r>
      <w:proofErr w:type="gramEnd"/>
      <w:r w:rsidRPr="007E52B2">
        <w:rPr>
          <w:rFonts w:ascii="Arial" w:hAnsi="Arial" w:cs="Arial"/>
          <w:color w:val="000000"/>
          <w:sz w:val="20"/>
          <w:szCs w:val="20"/>
        </w:rPr>
        <w:t xml:space="preserve"> (WRC-2000)</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lastRenderedPageBreak/>
        <w:t>RR 5.564A За рад примена фиксне и копнене мобилне службе у фреквенцијским опсезима у распону 275–450 GHz:</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Фреквенцијски опсези 275–296 GHz, 306–313 GHz, 318–333 GHz и 356–450 GHz су идентификовани за коришћење од стране администрација за имплементацију примена копнене мобилне и фиксне службе, где нису неопходни посебни услови за заштиту примена службе истраживања Земље сателитом (пасивно).</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Фреквенцијски опсези 296–306 GHz, 313–318 GHz и 333–356 GHz могу се користити од стране примена фиксне и копнене мобилне службе само када су одређени посебни услови који осигуравају заштиту примена службе истраживања Земље-сателитом (пасивно) у складу са Резолуцијом 731 (Rev. WRC-19).</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У оним деловима фреквенцијског опсега 275–450 GHz где се користе радио-астрономске примене, могу бити неопходни посебни услови (нпр. минимално растојање раздвајања и/или углови избегавања) како би се осигурала заштита радио-астрономских локација од примена копнене мобилне и/или фиксне службе, по принципу „од случаја до случаја”, у складу са Резолуцијом 731 (Rev. WRC-19).</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Коришћење горе поменутих фреквенцијских опсега од стране примена копнене мобилне и фиксне службе не спречава коришћење, нити успоставља приоритет над било којим другим применама радио служби у распону од 275–450 GHz. (WRC-19)</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RR 5.565 Следеће фреквенцијске опсеге унутар опсега 275–1000 GHz администрације могу да користе за примене у оквиру пасивних служби:</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радио-астрономске службе: 275–323 GHz, 327–371 GHz, 388–424 GHz, 426–442 GHz, 453–510 GHz, 623–711 GHz, 795–909 GHz и 926–945 GHz;</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службе истраживања Земље сателитом (пасивно) и службе истраживања свемира (пасивно): 275–286 GHz, 296–306 GHz, 313–356 GHz,361–365 GHz, 369–392 GHz, 397–399 GHz, 409–411 GHz, 416–434 GHz, 439–467GHz, 477–502 GHz, 523–527 GHz, 538–581 GHz, 611–630 GHz, 634–654 GHz, 657–692 GHz, 713–718 GHz, 729–733 GHz, 750–754 GHz, 771–776 GHz, 823–846 GHz, 850–854 GHz, 857–862 GHz, 866–882 GHz, 905–928 GHz, 951–956 GHz, 968–973 GHz и 985–990 GHz.</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Коришћење опсега 275–1000 GHz од стране пасивних служби не спречава коришћење опсега од стране активних служби.</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Администрације које желе да фреквенције из опсега 275–1000 GHz ставе на располагање применама у активним службама треба да предузму све могуће мере да заштите пасивне службе од штетних сметњи до момента дефинисања начина коришћења опсега 275–1000 GHz у Табели међународног плана намене.</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Све фреквенције из опсега 1000–3000 GHz могу бити коришћене од стране и активних и пасивних служби.</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(WRC-12).</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НОТЕ ИЗ ЕВРОПСКЕ ТАБЕЛЕ НАМЕНЕ (ЕСА ТАВLE ERC REPORT 25) РЕЛЕВАНТНЕ ЗА ПЛАН НАМЕНЕ</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ECA 6 Мобилна-сателитска служба је ограничена на сателите на ниским орбитама.</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ECA 7 Овај опсег се, такође, може користити за фиксне везе малог капацитета у руралним подручјима, на националној основи.</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Ове везе треба да се координирају са станицама мобилне службе и треба да буду у потпуности заштићене.</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ECA 8 Било какво коришћење фиксних веза малог капацитета треба да се избегава у областима где такво коришћење може изазвати штетне сметње поморској мобилној VHF радио-комуникацијској служби.</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ECA12 Важеће одредбе члана 5 Правилника у колони 1 остају на снази.</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Међутим, администрацијама се саветује да максимално ускладе националне Планове намене са Међународним планом намене (ITU Table of Allocations) и Европским планом намене (ECA).</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ECA13 Администрацијама земаља чланица CEPT-a се саветује да предузму све могуће мере како би опсег 645–960 MHz ослободиле од фреквенцијских додела намењених за ваздухопловну радионавигацијску службу.</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ECA14 Радио-локација ограничена на војну употребу за радаре на бродовима морнарице.</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ECA16 Након увођења система MFCN фиксна служба ће радити на секундарној основи у одговарајућим деловима опсега.</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ECA16А Коришћење опсега од стране мобилне службе је ограничено на тактичке радио-релејне и SAP/SAB примене.</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ECA17 У подопсезима 5660–5670 MHz, 10</w:t>
      </w:r>
      <w:proofErr w:type="gramStart"/>
      <w:r w:rsidRPr="007E52B2">
        <w:rPr>
          <w:rFonts w:ascii="Arial" w:hAnsi="Arial" w:cs="Arial"/>
          <w:color w:val="000000"/>
          <w:sz w:val="20"/>
          <w:szCs w:val="20"/>
        </w:rPr>
        <w:t>,36</w:t>
      </w:r>
      <w:proofErr w:type="gramEnd"/>
      <w:r w:rsidRPr="007E52B2">
        <w:rPr>
          <w:rFonts w:ascii="Arial" w:hAnsi="Arial" w:cs="Arial"/>
          <w:color w:val="000000"/>
          <w:sz w:val="20"/>
          <w:szCs w:val="20"/>
        </w:rPr>
        <w:t xml:space="preserve">–10,37 GHz, 10,45–10,46 GHz аматерска служба ради на секундарној основи. </w:t>
      </w:r>
      <w:proofErr w:type="gramStart"/>
      <w:r w:rsidRPr="007E52B2">
        <w:rPr>
          <w:rFonts w:ascii="Arial" w:hAnsi="Arial" w:cs="Arial"/>
          <w:color w:val="000000"/>
          <w:sz w:val="20"/>
          <w:szCs w:val="20"/>
        </w:rPr>
        <w:t>Приликом додељивања фреквенција другим службама, од администрација земаља чланица CEPT-a се тражи да, где год је то могуће, управљају овим подопсезима тако да омогуће пријем емисија радио аматерских станица чија је густина флукса снаге минимална.</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ECA17А Коришћење опсега од стране мобилне службе је ограничено на SAP/SAB примене.</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ECA 19 Опсег је намењен радио-астрономској служби.</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Администрацијама земаља чланица CEPT-a се саветује да предузму максималне мере да заштите радио-астрономску службу од штетних сметњи.</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Емисије са свемирских станица и станица у ваздуху у овом и суседним опсезима могу изазвати озбиљне штетне сметње.</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ECA 20 Овај опсег намењен фиксној служби је одређен за заједничко цивилно и војно коришћење.</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Приоритет коришћења у смислу канала и подопсега се одређује договором између заинтересованих страна.</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ECA 22 Опсег 5250–5850 MHz се користи за разне радио детерминацијске примене у оквиру радионавигацијске и радиолокацијске службе.</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Коришћење овог опсега ће бити предмет даљег детаљног разматрања.</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ECA 23 У подопсезима 5660–5670 MHz (земља – свемир), 5830–5850 MHz (свемир-земља) и 10</w:t>
      </w:r>
      <w:proofErr w:type="gramStart"/>
      <w:r w:rsidRPr="007E52B2">
        <w:rPr>
          <w:rFonts w:ascii="Arial" w:hAnsi="Arial" w:cs="Arial"/>
          <w:color w:val="000000"/>
          <w:sz w:val="20"/>
          <w:szCs w:val="20"/>
        </w:rPr>
        <w:t>,45</w:t>
      </w:r>
      <w:proofErr w:type="gramEnd"/>
      <w:r w:rsidRPr="007E52B2">
        <w:rPr>
          <w:rFonts w:ascii="Arial" w:hAnsi="Arial" w:cs="Arial"/>
          <w:color w:val="000000"/>
          <w:sz w:val="20"/>
          <w:szCs w:val="20"/>
        </w:rPr>
        <w:t xml:space="preserve">–10,50 GHz аматерска сателитска служба додатно ради на секундарној основи и не сме да изазива штетне сметње другим службама. </w:t>
      </w:r>
      <w:proofErr w:type="gramStart"/>
      <w:r w:rsidRPr="007E52B2">
        <w:rPr>
          <w:rFonts w:ascii="Arial" w:hAnsi="Arial" w:cs="Arial"/>
          <w:color w:val="000000"/>
          <w:sz w:val="20"/>
          <w:szCs w:val="20"/>
        </w:rPr>
        <w:t xml:space="preserve">Приликом додељивања фреквенција другим службама од </w:t>
      </w:r>
      <w:r w:rsidRPr="007E52B2">
        <w:rPr>
          <w:rFonts w:ascii="Arial" w:hAnsi="Arial" w:cs="Arial"/>
          <w:color w:val="000000"/>
          <w:sz w:val="20"/>
          <w:szCs w:val="20"/>
        </w:rPr>
        <w:lastRenderedPageBreak/>
        <w:t>администрација земаља чланица CEPT-a се очекује да у овим подопсезима, где год је то могуће, омогуће пријем емисија радио аматерских станица чија је густина флукса снаге минимална.</w:t>
      </w:r>
      <w:proofErr w:type="gramEnd"/>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ECA 24 Опсег 8500–10000 MHz се користи за разне радио детерминацијске примене у оквиру радионавигацијске и радиолокацијске службе.</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Коришћење овог опсега ће бити предмет даљег детаљног разматрања, заједно са опсегом 5250–5850 MHz (видети ЕU 22).</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ECA 26 Опсег 13</w:t>
      </w:r>
      <w:proofErr w:type="gramStart"/>
      <w:r w:rsidRPr="007E52B2">
        <w:rPr>
          <w:rFonts w:ascii="Arial" w:hAnsi="Arial" w:cs="Arial"/>
          <w:color w:val="000000"/>
          <w:sz w:val="20"/>
          <w:szCs w:val="20"/>
        </w:rPr>
        <w:t>,25</w:t>
      </w:r>
      <w:proofErr w:type="gramEnd"/>
      <w:r w:rsidRPr="007E52B2">
        <w:rPr>
          <w:rFonts w:ascii="Arial" w:hAnsi="Arial" w:cs="Arial"/>
          <w:color w:val="000000"/>
          <w:sz w:val="20"/>
          <w:szCs w:val="20"/>
        </w:rPr>
        <w:t xml:space="preserve">–14,0 GHz се користи за разне радио детерминацијске примене у оквиру радионавигацијске и радиолокацијске службе. </w:t>
      </w:r>
      <w:proofErr w:type="gramStart"/>
      <w:r w:rsidRPr="007E52B2">
        <w:rPr>
          <w:rFonts w:ascii="Arial" w:hAnsi="Arial" w:cs="Arial"/>
          <w:color w:val="000000"/>
          <w:sz w:val="20"/>
          <w:szCs w:val="20"/>
        </w:rPr>
        <w:t>Kоришћење овог опсега биће предмет даљег детаљног разматрања.</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ECA 28 Администрације земаља чланица CEPT-a неће уводити нове системе у фиксној служби у опсегу 11</w:t>
      </w:r>
      <w:proofErr w:type="gramStart"/>
      <w:r w:rsidRPr="007E52B2">
        <w:rPr>
          <w:rFonts w:ascii="Arial" w:hAnsi="Arial" w:cs="Arial"/>
          <w:color w:val="000000"/>
          <w:sz w:val="20"/>
          <w:szCs w:val="20"/>
        </w:rPr>
        <w:t>,7</w:t>
      </w:r>
      <w:proofErr w:type="gramEnd"/>
      <w:r w:rsidRPr="007E52B2">
        <w:rPr>
          <w:rFonts w:ascii="Arial" w:hAnsi="Arial" w:cs="Arial"/>
          <w:color w:val="000000"/>
          <w:sz w:val="20"/>
          <w:szCs w:val="20"/>
        </w:rPr>
        <w:t>–12,5 GHz (ERC/DEC(00)08).</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 xml:space="preserve">ECA 29 Опсези 890–915/935–960 MHz, 880–890/925–935 MHz, 1710–1785/1805–1880 MHz, 1920–1980 MHz и 2110–2170 MHz су резервисани само за јавну мобилну употребу. </w:t>
      </w:r>
      <w:proofErr w:type="gramStart"/>
      <w:r w:rsidRPr="007E52B2">
        <w:rPr>
          <w:rFonts w:ascii="Arial" w:hAnsi="Arial" w:cs="Arial"/>
          <w:color w:val="000000"/>
          <w:sz w:val="20"/>
          <w:szCs w:val="20"/>
        </w:rPr>
        <w:t>Коришћење ових опсега за друге службе, нпр.</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за</w:t>
      </w:r>
      <w:proofErr w:type="gramEnd"/>
      <w:r w:rsidRPr="007E52B2">
        <w:rPr>
          <w:rFonts w:ascii="Arial" w:hAnsi="Arial" w:cs="Arial"/>
          <w:color w:val="000000"/>
          <w:sz w:val="20"/>
          <w:szCs w:val="20"/>
        </w:rPr>
        <w:t xml:space="preserve"> фиксну службу, дозвољено је само тамо где је могућ паралелан рад са јавним мобилним системима тј. </w:t>
      </w:r>
      <w:proofErr w:type="gramStart"/>
      <w:r w:rsidRPr="007E52B2">
        <w:rPr>
          <w:rFonts w:ascii="Arial" w:hAnsi="Arial" w:cs="Arial"/>
          <w:color w:val="000000"/>
          <w:sz w:val="20"/>
          <w:szCs w:val="20"/>
        </w:rPr>
        <w:t>у</w:t>
      </w:r>
      <w:proofErr w:type="gramEnd"/>
      <w:r w:rsidRPr="007E52B2">
        <w:rPr>
          <w:rFonts w:ascii="Arial" w:hAnsi="Arial" w:cs="Arial"/>
          <w:color w:val="000000"/>
          <w:sz w:val="20"/>
          <w:szCs w:val="20"/>
        </w:rPr>
        <w:t xml:space="preserve"> ретко насељеним или сеоским областима где опсег није потребан за јавне мобилне системе.</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ECA 32 Опсези 880–915 MHz и 925–960 MHz се тренутно у већини земаља чланица CEPT-a користе за GSM (мобилни систем друге генерације) и за IMT, у зависности од тржишта и националне регулативе.</w:t>
      </w: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ECA 35 У Европи, опсег 75</w:t>
      </w:r>
      <w:proofErr w:type="gramStart"/>
      <w:r w:rsidRPr="007E52B2">
        <w:rPr>
          <w:rFonts w:ascii="Arial" w:hAnsi="Arial" w:cs="Arial"/>
          <w:color w:val="000000"/>
          <w:sz w:val="20"/>
          <w:szCs w:val="20"/>
        </w:rPr>
        <w:t>,5</w:t>
      </w:r>
      <w:proofErr w:type="gramEnd"/>
      <w:r w:rsidRPr="007E52B2">
        <w:rPr>
          <w:rFonts w:ascii="Arial" w:hAnsi="Arial" w:cs="Arial"/>
          <w:color w:val="000000"/>
          <w:sz w:val="20"/>
          <w:szCs w:val="20"/>
        </w:rPr>
        <w:t>–76 GHz је такође намењен аматерској и аматерској сателитској служби.</w:t>
      </w:r>
    </w:p>
    <w:p w:rsidR="00D23D60" w:rsidRPr="007E52B2" w:rsidRDefault="00D23D60" w:rsidP="00D23D60">
      <w:pPr>
        <w:widowControl/>
        <w:autoSpaceDE/>
        <w:autoSpaceDN/>
        <w:ind w:firstLine="480"/>
        <w:rPr>
          <w:rFonts w:ascii="Arial" w:hAnsi="Arial" w:cs="Arial"/>
          <w:color w:val="000000"/>
          <w:sz w:val="20"/>
          <w:szCs w:val="20"/>
        </w:rPr>
      </w:pPr>
      <w:proofErr w:type="gramStart"/>
      <w:r w:rsidRPr="007E52B2">
        <w:rPr>
          <w:rFonts w:ascii="Arial" w:hAnsi="Arial" w:cs="Arial"/>
          <w:color w:val="000000"/>
          <w:sz w:val="20"/>
          <w:szCs w:val="20"/>
        </w:rPr>
        <w:t>ECA 37 У Европи је намена за мобилну службу ограничена на опсег 3400–3800 MHz.</w:t>
      </w:r>
      <w:proofErr w:type="gramEnd"/>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color w:val="000000"/>
          <w:sz w:val="20"/>
          <w:szCs w:val="20"/>
        </w:rPr>
        <w:t>ECA 39 Администрације су дужне да избегавају употребу мобилних система велике густине, укључујући и фиксни бежични приступ велике густине у фреквенцијском опсегу 22</w:t>
      </w:r>
      <w:proofErr w:type="gramStart"/>
      <w:r w:rsidRPr="007E52B2">
        <w:rPr>
          <w:rFonts w:ascii="Arial" w:hAnsi="Arial" w:cs="Arial"/>
          <w:color w:val="000000"/>
          <w:sz w:val="20"/>
          <w:szCs w:val="20"/>
        </w:rPr>
        <w:t>,0</w:t>
      </w:r>
      <w:proofErr w:type="gramEnd"/>
      <w:r w:rsidRPr="007E52B2">
        <w:rPr>
          <w:rFonts w:ascii="Arial" w:hAnsi="Arial" w:cs="Arial"/>
          <w:color w:val="000000"/>
          <w:sz w:val="20"/>
          <w:szCs w:val="20"/>
        </w:rPr>
        <w:t>–23,6 GHz (ECC/DEC/(18)06)</w:t>
      </w:r>
    </w:p>
    <w:p w:rsidR="00F943AF" w:rsidRDefault="00F943AF" w:rsidP="00F943AF">
      <w:pPr>
        <w:rPr>
          <w:rFonts w:ascii="Arial" w:hAnsi="Arial" w:cs="Arial"/>
          <w:sz w:val="20"/>
          <w:szCs w:val="20"/>
          <w:lang w:val="sr-Cyrl-RS"/>
        </w:rPr>
      </w:pPr>
    </w:p>
    <w:p w:rsidR="00F943AF" w:rsidRDefault="00F943AF" w:rsidP="00F943AF">
      <w:pPr>
        <w:rPr>
          <w:rFonts w:ascii="Arial" w:hAnsi="Arial" w:cs="Arial"/>
          <w:sz w:val="20"/>
          <w:szCs w:val="20"/>
          <w:lang w:val="sr-Cyrl-RS"/>
        </w:rPr>
      </w:pPr>
    </w:p>
    <w:p w:rsidR="00D23D60" w:rsidRPr="007E52B2" w:rsidRDefault="00D23D60" w:rsidP="00F943AF">
      <w:pPr>
        <w:rPr>
          <w:rFonts w:ascii="Arial" w:hAnsi="Arial" w:cs="Arial"/>
          <w:color w:val="000000"/>
          <w:sz w:val="20"/>
          <w:szCs w:val="20"/>
        </w:rPr>
      </w:pPr>
      <w:r w:rsidRPr="007E52B2">
        <w:rPr>
          <w:rFonts w:ascii="Arial" w:hAnsi="Arial" w:cs="Arial"/>
          <w:b/>
          <w:bCs/>
          <w:color w:val="000000"/>
          <w:sz w:val="20"/>
          <w:szCs w:val="20"/>
        </w:rPr>
        <w:t>ПРИЛОГ 2</w:t>
      </w:r>
    </w:p>
    <w:p w:rsidR="00D23D60" w:rsidRDefault="00D23D60" w:rsidP="00D23D60">
      <w:pPr>
        <w:widowControl/>
        <w:autoSpaceDE/>
        <w:autoSpaceDN/>
        <w:ind w:firstLine="480"/>
        <w:jc w:val="center"/>
        <w:rPr>
          <w:rFonts w:ascii="Arial" w:hAnsi="Arial" w:cs="Arial"/>
          <w:b/>
          <w:bCs/>
          <w:color w:val="000000"/>
          <w:sz w:val="20"/>
          <w:szCs w:val="20"/>
          <w:lang w:val="sr-Cyrl-RS"/>
        </w:rPr>
      </w:pPr>
      <w:r w:rsidRPr="007E52B2">
        <w:rPr>
          <w:rFonts w:ascii="Arial" w:hAnsi="Arial" w:cs="Arial"/>
          <w:b/>
          <w:bCs/>
          <w:color w:val="000000"/>
          <w:sz w:val="20"/>
          <w:szCs w:val="20"/>
        </w:rPr>
        <w:t>CEPT/ECC/ERC ОДЛУКЕ И ПРЕПОРУКЕ КОЈЕ СУ ПРЕУЗЕТЕ ИЗ ERC ИЗВЕШТАЈА 25</w:t>
      </w:r>
    </w:p>
    <w:p w:rsidR="00F943AF" w:rsidRPr="00F943AF" w:rsidRDefault="00F943AF" w:rsidP="00D23D60">
      <w:pPr>
        <w:widowControl/>
        <w:autoSpaceDE/>
        <w:autoSpaceDN/>
        <w:ind w:firstLine="480"/>
        <w:jc w:val="center"/>
        <w:rPr>
          <w:rFonts w:ascii="Arial" w:hAnsi="Arial" w:cs="Arial"/>
          <w:b/>
          <w:bCs/>
          <w:color w:val="000000"/>
          <w:sz w:val="20"/>
          <w:szCs w:val="20"/>
          <w:lang w:val="sr-Cyrl-R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594"/>
        <w:gridCol w:w="13256"/>
      </w:tblGrid>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ECC/DEC/(22)06</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Harmonised technical conditions for Mobile/Fixed Communications Networks (MFCN) in the band 40.5–43.5 GHz</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ECC/DEC/(22)01</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Free circulation and use of Mobile/Fixed Communication Networks (MFCN) terminals operating under the control of terrestrial networks</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ЕCC/DEC/(21)02</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The harmonised frequency band 76–77 GHz, technical characteristics, exemption from individual licensing and free circulation and use of High Definition Ground Based Synthetic Aperture Radar (HD-GBSAR)</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ECC/DEC/(21)01</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The use of the bands 47.2–50.2 GHz and 50.4–52.4 GHz by the fixed-satellite service (Earth-to-space)</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ECC/DEC/(20)02</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Harmonised use of the paired frequency bands 874.4–880.0 MHz and 919.4–925.0 MHz and of the unpaired frequency band 1900–1910 MHz for Railway Mobile Radio (RMR)</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ECC/DEC/(20)01</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On the harmonised use of the frequency band 5945–6425 MHz for Wireless Access Systems including Radio Local Area Networks (WAS/RLAN)</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ECC/DEC/(19)04</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The harmonised use of spectrum, free circulation and use of earth stations on-board aircraft operating with GSO FSS networks and NGSO FSS systems in the frequency bands 12.75–13.25 GHz (Earth-to-space) and 10.7–12.75 GHz (space-to-Earth)</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ECC/DEC/(19)03</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harmonised usage of the channels of the radio regulations appendix 18 (transmitting frequencies in the vhf maritime mobile band)</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ECC/DEC/(19)02</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Land mobile systems in the frequency ranges 68–87.5 MHz, 146–174 MHz, 406.1–410 MHz, 410–430 MHz, 440–450 MHz and 450–470 MHz</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ECC/DEC/(18)06</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The harmonised technical conditions for Mobile/Fixed Communications Networks (MFCN) in the band 24.25–27.5 GHz</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ECC/DEC/(18)05</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The harmonised use, exemption from individual licensing and free circulation and use of Earth Stations In-Motion (ESIM) operating with NGSO FSS satellite systems in the frequency bands 10.7–12.75 GHz and 14.0–14.5 GHz</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ECC/DEC/(18)04</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The harmonised use, exemption from individual licensing and free circulation and use of land based Earth Stations In-Motion (ESIM) operating with GSO FSS satellite systems in the frequency bands 10.7–12.75 GHz and 14.0–14.5 GHz</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ECC/DEC/(17)06</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The harmonised use of the frequency bands 1427–1452 MHz and 1492–1518 MHz for Mobile/Fixed Communications Networks Supplemental Downlink (MFCN SDL)</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ECC/DEC/(17)04</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The harmonised use and exemption from individual licensing of fixed earth stations operating with NGSO FSS satellite systems in the frequency bands 10.7–12.75 GHz and 14.0–14.5 GHz</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ECC/DEC/(16)02</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Harmonised technical conditions and frequency bands for the implementation of Broadband Public Protection and Disaster Relief (BB-PPDR) systems</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ECC/DEC/(16)01</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 xml:space="preserve">The harmonised frequency band 76–77 GHz, technical characteristics, exemption from individual licensing and free carriage and use of obstacle </w:t>
            </w:r>
            <w:r w:rsidRPr="007E52B2">
              <w:rPr>
                <w:rFonts w:ascii="Arial" w:hAnsi="Arial" w:cs="Arial"/>
                <w:color w:val="000000"/>
                <w:sz w:val="20"/>
                <w:szCs w:val="20"/>
              </w:rPr>
              <w:lastRenderedPageBreak/>
              <w:t>detection radars for rotorcraft use</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lastRenderedPageBreak/>
              <w:t>ECC/DEC/(15)05</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The harmonised frequency range 446.0–446.2 MHz, technical characteristics, exemption from individual licensing and free carriage and use of analogue and digital PMR 446 applications</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ECC/DEC/(15)04</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The harmonised use, free circulation and exemption from individual licensing of Land, Maritime and Aeronautical Earth Stations On Mobile Platforms (ESOMPs) operating with NGSO FSS satellite systems in the frequency ranges 17.3–20.2 GHz, 27.5–29.1 GHz and 29.5–30.0 GHz</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ECC/DEC/(15)01</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The harmonised technical conditions for mobile/fixed communications networks (MFCN) in the band 694–790 MHz including a paired frequency arrangement (Frequency Division Duplex 2x30 MHz) and an optional unpaired frequency arrangement (Supplemental Downlink)</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ECC/DEC/(14)02</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The harmonised technical and regulatory conditions for the use of the band 2300–2400 MHz for Mobile/Fixed Communications Networks (MFCN)</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ECC/DEC/(13)03</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The harmonised use of the frequency band 1452–1492 MHz for Mobile/Fixed Communications Networks Supplemental Downlink (MFCN SDL)</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ECC/DEC/(13)01</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The use, free circulation, and exemption from individual licensing of Earth stations on mobile platforms (ESOMPs) in the frequency bands available for use by uncoordinated FSS Earth stations within the ranges 17.3–20.2 GHz and 27.5–30.0 GHz</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ECC/DEC/(12)03</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The harmonised conditions for UWB applications onboard aircraft</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ECC/DEC/(12)01</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Exemption from individual licensing and free circulation and use of satellite mobile terminals operating under the control of networks in the range 1 to 3 GHz</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ECC/DEC/(11)06</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The harmonised frequency arrangements and Least Restrictive Technical Conditions (LRTCs) for Mobile/Fixed Communications Networks (MFCN) operating in the band 3400–3800 MHz</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ECC/DEC/(11)03</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The harmonised use of frequencies for Citizen’ Band (CB) radio equipment</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ECC/DEC/(11)02</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Industrial Level Probing Radars (LPR) operating in frequency bands 6–8.5 GHz, 24.05–26.5 GHz, 57–64 GHz and 75–85 GHz</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ECC/DEC/(11)01</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The protection of the Earth exploration satellite service (passive) in the 1400–1427 MHz band</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ECC/DEC/(10)02</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Compatibility between the fixed satellite service in the 30–31 GHz band and the Earth exploration satellite service (passive) in the 31.3–31.5 GHz band</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ECC/DEC/(10)01</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Sharing conditions in the 10.6–10.68 GHz band between the fixed service, mobile service and Earth exploration satellite service (passive)</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ECC/DEC/(09)04</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Exemption from individual licensing and the free circulation and use of transmit-only mobile satellite terminals operating in the Mobile-Satellite Service allocations in the 1613.8–1626.5 MHz band</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ECC/DEC/(09)03</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Harmonised conditions for Mobile/Fixed Communications Networks (MFCN) operating in the band 790–862 MHz</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ECC/DEC/(09)02</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The harmonisation of the bands 1610–1626.5 MHz and 2483.5–2500 MHz for use by systems in the Mobile-Satellite Service</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ECC/DEC/(09)01</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Harmonised use of the 63.72–65.88 GHz frequency band for Intelligent Transport Systems (ITS)</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ECC/DEC/(08)05</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The harmonisation of frequency bands for the implementation of digital Public Protection and Disaster Relief (PPDR) narrow band and wide band radio applications in bands within the 380–470 MHz range</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ECC/DEC/(08)01</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The harmonised use of Safety-Related Intelligent Transport Systems (ITS) in the 5875–5935 MHz frequency band</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ECC/DEC/(07)01</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The harmonised use, exemption from individual licensing and free circulation of Material Sensing Devices using Ultra-Wideband (UWB) technology</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ECC/DEC/(06)13</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Harmonised technical conditions for mobile/fixed communications networks (MFCN) including terrestrial IMT systems, other than GSM and EC-GSM IoT, in the bands 880–915/925–960 MHz and 1710–1785/1805–1880 MHz</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ECC/DEC/(06)10</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Transitional arrangements for the Fixed Service and tactical radio relay systems in the bands 1980–2010 MHz and 2170–2200 MHz in order to facilitate the harmonised introduction and development of systems in the Mobile Satellite Service including</w:t>
            </w:r>
            <w:r w:rsidRPr="007E52B2">
              <w:rPr>
                <w:rFonts w:ascii="Arial" w:hAnsi="Arial" w:cs="Arial"/>
                <w:color w:val="000000"/>
                <w:sz w:val="20"/>
                <w:szCs w:val="20"/>
              </w:rPr>
              <w:br/>
              <w:t>those supplemented by a Complementary Ground Component</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ECC/DEC/(06)09</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The designation of the bands 1980–2010 MHz and 2170–2200 MHz for use by systems in the Mobile-Satellite Service including those supplemented by a Complementary Ground Component (CGC)</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ECC/DEC/(06)08</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 Decision of 1 December 2006 on the conditions for use of the radio spectrum by Ground- and Wall- Probing Radar (GPR/WPR) imaging systems</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ECC/DEC/(06)07</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The harmonised use of airborne GSM and LTE systems in the frequency bands 1710–1785 and 1805–1880 MHz, and airborne UMTS systems in the frequency bands 1920–1980 MHz and 2110–2170 MHz</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ECC/DEC/(06)05</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 xml:space="preserve">The harmonised frequency bands to be designated for Air-Ground-Air operation (AGA) of the Digital Land Mobile Systems for the Emergency </w:t>
            </w:r>
            <w:r w:rsidRPr="007E52B2">
              <w:rPr>
                <w:rFonts w:ascii="Arial" w:hAnsi="Arial" w:cs="Arial"/>
                <w:color w:val="000000"/>
                <w:sz w:val="20"/>
                <w:szCs w:val="20"/>
              </w:rPr>
              <w:lastRenderedPageBreak/>
              <w:t>Services</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lastRenderedPageBreak/>
              <w:t>ECC/DEC/(06)04</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The harmonised use, exemption from individual licensing and free circulation of devices using Ultra-Wideband (UWB) technology in bands below 10.6 GHz</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ECC/DEC/(06)03</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Exemption from Individual Licensing of High e.i.r.p. Satellite Terminals (HEST) with e.i.r.p. above 34 dBW operating within the frequency bands 10.70–12.75 GHz or 19.70–20.20 GHz space-to-Earth and 14.00–14.25 GHz or 29.50–30.00 GHz Earth-to-space</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ECC/DEC/(06)01</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The harmonised utilisation of the bands1920–1980 MHz and 2110–2170 MHz for mobile/fixed communications networks (MFCN) including terrestrial IMT systems</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ECC/DEC/(05)11</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The free circulation and use of Aircraft Earth Stations (AES) in the frequency bands 14–14.5 GHz (Earth-to-space), 10.7–11.7GHz (space-to-Earth) and 12.5–12.75 GHz (space-to-Earth)</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ECC/DEC/(05)10</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The free circulation and use of Earth Stations on board Vessels operating in fixed satellite service networks in the frequency bands 14–14.5 GHz (Earth-to-space), 10.7–11.7 GHz (space-to-Earth) and 12.5–12.75 GHz (space-to-Earth)</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ECC/DEC/(05)09</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The free circulation and use of Earth Stations on board Vessels operating in Fixed Satellite service networks in the frequency bands 5925–6425 MHz (Earth-to-space) and 3700–4200 MHz (space-to-Earth)</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ECC/DEC/(05)08</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The availability of frequency bands for high density applications in the Fixed-Satellite Service (space-to-Earth and Earth-to-space)</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ECC/DEC/(05)05</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Harmonised utilisation of spectrum for Mobile/Fixed Communications Networks (MFCN) operating within the band 2500–2690 MHz</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ECC/DEC/(05)02</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A harmonised frequency plan for the use of the band 169.4–169.8125 MHz</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ECC/DEC/(05)01</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The use of the band 27.5–29.5 GHz by the Fixed Service and uncoordinated Earth stations of the Fixed-Satellite Service (Earth-to-space)</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ECC/DEC/(04)10</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The frequency bands to be designated for the temporary introduction of Automotive Short Range Radars (SRR)</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ECC/DEC/(04)09</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Designation of the bands 1518–1525 MHz and 1670–1675 MHz for the Mobile Satellitte Service</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ECC/DEC/(04)08</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On the harmonised use of the 5 GHz frequency bands for Wireless Access Systems including Radio Local Area Networks (WAS/RLAN)</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ECC/DEC/(04)03</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The frequency band 77–81 GHz to be designated for the use of Automotive Short Range Radars</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ECC/DEC/(02)05</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The designation and availability of frequency bands for railway purposes in the 876–880 MHz and 921–925 MHz bands</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ECC/DEC/(02)04</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The use of the band 40.5–42.5 GHz by terrestrial (fixed service/ broadcasting service) systems and uncoordinated Earth stations in the fixed satellite service and broadcasting-satellite service (space to Earth)</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ERC/DEC/(94)01</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The frequency bands to be designated for the coordinated introduction of the GSM</w:t>
            </w:r>
          </w:p>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digital pan-European communications system</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ERC/DEC/(01)19</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Harmonised frequency bands to be designated for the Direct Mode Operation (DMO) of the Digital Land Mobile Systems for the Emergency Services</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ERC/DEC/(01)17</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Harmonised frequencies, technical characteristics and exemption from individual licensing of Ultra Low Power Active Medical Implant (ULP-AMI) communication systems operating in the frequency band 401–406 MHz on a secondary basis</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ERC/DEC/(01)12</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Harmonised frequencies, technical characteristics and exemption from individual licensing of Short Range Devices used for Model control operating in the frequencies 40.665, 40.675, 40.685 and 40.695 MHz</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ERC/DEC/(01)11</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Harmonised frequencies, technical characteristics and exemption from individual licensing of Short Range Devices used for Flying Model control operating in the frequency band 34.995–35.225 MHz</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ЕRC/DEC/(00)08</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The use of the band 10.7–12.5 GHz by the fixed service and Earth stations of the broadcasting-satellite and fixed-satellite Service (space-to-Earth)</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ERC/DEC/(00)07</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The shared use of the band 17.7–19.7 GHz by the fixed service and Earth stations of the fixed-satellite service (space-to-Earth)</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ERC/DEC/(00)02</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Use of the band 37.5–39.5 GHz by the fixed service and by earth stations of the fixed-satellite service (space-to-Earth) and use of the band 39.5–40.5 GHz by earth stations of the fixed-satellite service and the mobile-satellite service (space-to- Earth)</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ERC/DEC/(99)06</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The harmonised introduction of satellite personal communication systems operating in the bands below 1 GHz (S-PCS&lt;1GHz)</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ERC/DEC/(99)05</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Free Circulation, Use and Exemption from Individual Licensing of Mobile Earth Stations.(S-PCS &lt; 1GHz)</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ERC/DEC/(98)22</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exemption from individual licensing and free circulation and use of DECT equipment</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ERC/DEC/(97)02</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The extended frequency bands to be used for the GSM Digital Pan-European Communications system</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ERC/DEC/(95)03</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The frequency bands to be designated for the introduction of DCS 1800</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lastRenderedPageBreak/>
              <w:t>ERC/DEC/(94)03</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The frequency band to be designated for the coordinated introduction of the Digital European Cordless Telecommunications system</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ECC/REC/(21)02</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Guidance on the application of the least restrictive technical conditions (LRTC) in ECC Decision (11)06 (amended 26 October 2018) to ensure protection of the military radiolocation systems operating below 3400 MHz from indoor non-AAS small cells</w:t>
            </w:r>
          </w:p>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operating in the band 3400–3800 MHz</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ECC/REC/(20)03</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Frame structures to facilitate cross-border coordination of TDD MFCN in the frequency band 3400–3800 MHz</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ECC/REC/(20)01</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Guidelines to support the introduction of 5G while ensuring, in a proportionate way, the use of existing and planned FSS transmitting earth stations in the frequency band 24.65–25.25 GHz and the possibility for future deployment of these earth stations</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ECC/REC/(19)01</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Technical toolkit to support the introduction of 5G while ensuring, in a proportionate way, the use of existing and planned EESS/SRS receiving earth stations in the 26 GHz band and the possibility for future deployment of these earth stations</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ECC/REC/(18)02</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Radio frequency channel/block arrangements for fixed service systems operating in the bands 92–94 GHz, 94.1–100 GHz, 102–109.5 GHz and 111.8–114.25 GHz</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ECC/REC/(18)01</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Radio frequency channel/block arrangements for Fixed Service systems operating in the bands 130 – 134 GHz, 141–148.5 GHz, 151.5–164 GHz and 167 – 174.8 GHz</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ECC/REC/(16)03</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Cross-border coordination for Broadband Public Protection and Disaster Relief (BBPPDR) systems in the frequency band 698 to 791 MHz</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ECC/REC/(15)04</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The guidance for the implementation of a sharing framework between MFCN and PMSE within 2300–2400 MHz</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ECC/REC/(15)01</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Cross-border coordination for mobile/fixed communications networks (MFCN) in the frequency bands: 694–790 MHz, 1452–1492 MHz, 3400–3600 MHz and 3600–3800 MHz</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ECC/REC/(14)06</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Implementation of Fixed Service Point-to-Point narrow channels (3.5 MHz, 1.75 MHz, 0.5 MHz, 0.25 MHz, 0.025 MHz) in the guard bands and center gaps of the lower 6 GHz (5925–6425 MHz) and upper 6 GHz (6425–7125 MHz) bands</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ECC/REC/(14)04</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Cross-border coordination for mobile/fixed communications networks (MFCN) and between MFCN and other systems in the frequency band 2300–2400 MHz</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ECC/REC/(14)01</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Radio frequency channel arrangements for fixed service systems operating in the band 92–95 GHz</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ECC/REC/(11)10</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Location Tracking Application for emergency and disaster situations</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ECC/REC/(11)09</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UWB Location Tracking Systems Type 2 (LT2)</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ECC/REC/(11)08</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Framework for authorisation regime of indoor global navigation satellite system (GNSS) pseudolites in the band 1559–1610 MHz</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ECC/REC/(11)05</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Cross-border Coordination for Mobile/Fixed Communications Networks (MFCN) in the frequency band 2500–2690 MHz</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ECC/REC/(11)04</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Cross-border Coordination for Mobile/Fixed Communications Networks (MFCN) in the frequency band 790–862 MHz</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ECC/REC/(11)01</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Guidelines for assignment of frequency blocks for Fixed Wireless Systems in the bands 24.5–26.5 GHz, 27.5–29.5 GHz and 31.8–33.4 GHz</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ECC/REC/(10)02</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A framework for authorisation regime of Global Navigation Satellite System (GNSS) repeaters</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ECC/REC/(10)01</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Guidelines for compatibility between Complementary Ground Components (CGC) operating in the band 2170–2200 MHz and EESS/SOS/SRS earth stations operating in the band 2200–2290 MHz</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ECC/REC/(08)04</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The identification of frequency bands for the implementation of Broad Band Disaster Relief (BBDR) radio applications in the 5 GHz frequency range</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ECC/REC/(08)02</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Frequency planning and frequency coordination for GSM/UMTS/LTE/WiMAX Land Mobile systems operating within the 900 and 1800 MHz bands</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ECC/REC/(08)01</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Use of the band 5855–5875 MHz for Intelligent Transport Systems (ITS)</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ECC/REC/(06)04</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Use of the band 5725–5875 MHz for Broadband Fixed Wireless Access (BFWA)</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ECC/REC/(05)08</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Frequency planning and cross-border coordination between GSM Land Mobile Systems (GSM 900, GSM 1800 and GSM-R)</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ECC/REC/(05)07</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Radio frequency channel arrangements for Fixed Service Systems operating in the bands 71–76 GHz and 81–86 GHz</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ECC/REC/(02)09</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Protection of Aeronautical Radio Navigation Service in the band 2700–2900 MHz from interference caused by the operation of Digital Cordless Cameras</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ECC/REC/(02)02</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Preferred channel arrangements for fixed service systems (point-to-point and pointto- multipoint) operating in the frequency band 31.0–31.3 GHz</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ERC/REC/(01)02</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Preferred channel arrangement for digital FS systems operating in the band 31.8–33.4 GHz</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ERC/REC/(01)01</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Cross-border coordination for mobile/fixed communications networks (MFCN) in the frequency bands: 1920–1980 MHz and 2110–2170 MHz</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lastRenderedPageBreak/>
              <w:t>ERC/REC/(00)04</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Harmonised frequencies and free circulation and use for meteor scatter applications</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ERC/REC 70–03</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Relating to the Use of Short Range Devices (SRD)</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ЕRC/REC 25–10</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Frequency ranges for the use of terrestrial audio and video Programme Making and Special Events (PMSE) applications</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ERC/REC 14–02</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Radio-frequency channel arrangements for high, medium and low capacity digital Fixed Service systems operating in the band 6425–7125 MHz</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ERC/REC 14–01</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Radio-frequency channel arrangements for high capacity analogue and digital radiorelay systems operating in the band 5925 to 6425 MHz</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ERC/REC 13–03</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The use of the band 14.0–14.5 GHz for Very Small Aperture Terminals (VSAT) and Satellite News Gathering (SNG)</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ERC/REC 12–12</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Radio frequency channel arrangement for fixed service systems operating in the band 55.78–57.0 GHz (as amended in 2015)</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ERC/REC 12–11</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Radio frequency channel arrangements for Fixed Service systems operating in the bands 48.5–50.2/50.9–52.6 GHz</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ERC/REC 12–08</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Harmonised radio frequency channel arrangements and block allocations for low, medium and high capacity systems in the band 3600 MHz to 4200 MHz</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ERC/REC 12–07</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Harmonised radio frequency channel arrangements for digital terrestrial fixed systems operating in the band 14.5–14.62 GHz paired with 15.23–15.35 GHz</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ERC/REC 12–02</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Harmonised radio frequency channel arrangements for analogue and digital terrestrial fixed systems operating in the band 12.75 GHz to 13.25 GHz</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T/R 25–08</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Planning criteria and cross-border coordination of frequencies for land mobile systems in the range 29.7–470 MHz</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T/R 13–02</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Preferred channel arrangements for fixed service systems in the frequency range 22.0–29.5 GHz</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T/R 13–01</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Preferred channel arrangements for fixed service systems operating in the frequency range 1–2–3 GHz</w:t>
            </w:r>
          </w:p>
        </w:tc>
      </w:tr>
      <w:tr w:rsidR="00D23D60" w:rsidRPr="007E52B2" w:rsidTr="00F943AF">
        <w:tc>
          <w:tcPr>
            <w:tcW w:w="36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T/R 12–01</w:t>
            </w:r>
          </w:p>
        </w:tc>
        <w:tc>
          <w:tcPr>
            <w:tcW w:w="463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Harmonised radio frequency channel arrangements for analogue/digital terrestrial FS operating in 37–39.5 GHz</w:t>
            </w:r>
          </w:p>
        </w:tc>
      </w:tr>
    </w:tbl>
    <w:p w:rsidR="007E52B2" w:rsidRDefault="007E52B2" w:rsidP="00D23D60">
      <w:pPr>
        <w:pStyle w:val="basic-paragraph"/>
        <w:spacing w:before="0" w:beforeAutospacing="0" w:after="0" w:afterAutospacing="0"/>
        <w:ind w:firstLine="480"/>
        <w:rPr>
          <w:rStyle w:val="bold"/>
          <w:rFonts w:ascii="Arial" w:hAnsi="Arial" w:cs="Arial"/>
          <w:b/>
          <w:bCs/>
          <w:color w:val="000000"/>
          <w:sz w:val="20"/>
          <w:szCs w:val="20"/>
          <w:lang w:val="sr-Cyrl-RS"/>
        </w:rPr>
      </w:pPr>
    </w:p>
    <w:p w:rsidR="007E52B2" w:rsidRDefault="007E52B2" w:rsidP="00D23D60">
      <w:pPr>
        <w:pStyle w:val="basic-paragraph"/>
        <w:spacing w:before="0" w:beforeAutospacing="0" w:after="0" w:afterAutospacing="0"/>
        <w:ind w:firstLine="480"/>
        <w:rPr>
          <w:rStyle w:val="bold"/>
          <w:rFonts w:ascii="Arial" w:hAnsi="Arial" w:cs="Arial"/>
          <w:b/>
          <w:bCs/>
          <w:color w:val="000000"/>
          <w:sz w:val="20"/>
          <w:szCs w:val="20"/>
          <w:lang w:val="sr-Cyrl-RS"/>
        </w:rPr>
      </w:pP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Style w:val="bold"/>
          <w:rFonts w:ascii="Arial" w:hAnsi="Arial" w:cs="Arial"/>
          <w:b/>
          <w:bCs/>
          <w:color w:val="000000"/>
          <w:sz w:val="20"/>
          <w:szCs w:val="20"/>
        </w:rPr>
        <w:t>ПРИЛОГ 3</w:t>
      </w:r>
    </w:p>
    <w:p w:rsidR="00D23D60" w:rsidRDefault="00D23D60" w:rsidP="00D23D60">
      <w:pPr>
        <w:pStyle w:val="bold1"/>
        <w:spacing w:before="0" w:beforeAutospacing="0" w:after="0" w:afterAutospacing="0"/>
        <w:ind w:firstLine="480"/>
        <w:jc w:val="center"/>
        <w:rPr>
          <w:rStyle w:val="bold"/>
          <w:rFonts w:ascii="Arial" w:hAnsi="Arial" w:cs="Arial"/>
          <w:b/>
          <w:bCs/>
          <w:color w:val="000000"/>
          <w:sz w:val="20"/>
          <w:szCs w:val="20"/>
          <w:lang w:val="sr-Cyrl-RS"/>
        </w:rPr>
      </w:pPr>
      <w:r w:rsidRPr="007E52B2">
        <w:rPr>
          <w:rStyle w:val="bold"/>
          <w:rFonts w:ascii="Arial" w:hAnsi="Arial" w:cs="Arial"/>
          <w:b/>
          <w:bCs/>
          <w:color w:val="000000"/>
          <w:sz w:val="20"/>
          <w:szCs w:val="20"/>
        </w:rPr>
        <w:t>СПИСАК ITU ПРЕПОРУКА КОЈЕ СЕ НАЛАЗЕ У ПЛАНУ НАМЕНЕ</w:t>
      </w:r>
    </w:p>
    <w:p w:rsidR="00F943AF" w:rsidRPr="00F943AF" w:rsidRDefault="00F943AF" w:rsidP="00D23D60">
      <w:pPr>
        <w:pStyle w:val="bold1"/>
        <w:spacing w:before="0" w:beforeAutospacing="0" w:after="0" w:afterAutospacing="0"/>
        <w:ind w:firstLine="480"/>
        <w:jc w:val="center"/>
        <w:rPr>
          <w:rFonts w:ascii="Arial" w:hAnsi="Arial" w:cs="Arial"/>
          <w:b/>
          <w:bCs/>
          <w:color w:val="000000"/>
          <w:sz w:val="20"/>
          <w:szCs w:val="20"/>
          <w:lang w:val="sr-Cyrl-RS"/>
        </w:rPr>
      </w:pP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Style w:val="bold"/>
          <w:rFonts w:ascii="Arial" w:hAnsi="Arial" w:cs="Arial"/>
          <w:b/>
          <w:bCs/>
          <w:color w:val="000000"/>
          <w:sz w:val="20"/>
          <w:szCs w:val="20"/>
        </w:rPr>
        <w:t>ITU-R SA.1260-1 </w:t>
      </w:r>
      <w:r w:rsidRPr="007E52B2">
        <w:rPr>
          <w:rFonts w:ascii="Arial" w:hAnsi="Arial" w:cs="Arial"/>
          <w:color w:val="000000"/>
          <w:sz w:val="20"/>
          <w:szCs w:val="20"/>
        </w:rPr>
        <w:t>Feasibility of sharing between active spaceborne sensors and other services in the range 420–470 MHz</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Style w:val="bold"/>
          <w:rFonts w:ascii="Arial" w:hAnsi="Arial" w:cs="Arial"/>
          <w:b/>
          <w:bCs/>
          <w:color w:val="000000"/>
          <w:sz w:val="20"/>
          <w:szCs w:val="20"/>
        </w:rPr>
        <w:t>ITU-R F.382-8 </w:t>
      </w:r>
      <w:r w:rsidRPr="007E52B2">
        <w:rPr>
          <w:rFonts w:ascii="Arial" w:hAnsi="Arial" w:cs="Arial"/>
          <w:color w:val="000000"/>
          <w:sz w:val="20"/>
          <w:szCs w:val="20"/>
        </w:rPr>
        <w:t>Radio-frequency channel arrangements for fixed wireless systems operating in the 2 and 4 GHz bands</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Style w:val="bold"/>
          <w:rFonts w:ascii="Arial" w:hAnsi="Arial" w:cs="Arial"/>
          <w:b/>
          <w:bCs/>
          <w:color w:val="000000"/>
          <w:sz w:val="20"/>
          <w:szCs w:val="20"/>
        </w:rPr>
        <w:t>ITU-R F.383-10 </w:t>
      </w:r>
      <w:r w:rsidRPr="007E52B2">
        <w:rPr>
          <w:rFonts w:ascii="Arial" w:hAnsi="Arial" w:cs="Arial"/>
          <w:color w:val="000000"/>
          <w:sz w:val="20"/>
          <w:szCs w:val="20"/>
        </w:rPr>
        <w:t>Radio-frequency channel arrangements for high-capacity fixed wireless systems operating in the lower 6 GHz (5 925 to 6 425 MHz) band</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Style w:val="bold"/>
          <w:rFonts w:ascii="Arial" w:hAnsi="Arial" w:cs="Arial"/>
          <w:b/>
          <w:bCs/>
          <w:color w:val="000000"/>
          <w:sz w:val="20"/>
          <w:szCs w:val="20"/>
        </w:rPr>
        <w:t>ITU-R F. 384-11 </w:t>
      </w:r>
      <w:r w:rsidRPr="007E52B2">
        <w:rPr>
          <w:rFonts w:ascii="Arial" w:hAnsi="Arial" w:cs="Arial"/>
          <w:color w:val="000000"/>
          <w:sz w:val="20"/>
          <w:szCs w:val="20"/>
        </w:rPr>
        <w:t>Radio-frequency channel arrangements for medium- and high-capacity digital fixed wireless systems operating in the 6 425–7 125 MHz band</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Style w:val="bold"/>
          <w:rFonts w:ascii="Arial" w:hAnsi="Arial" w:cs="Arial"/>
          <w:b/>
          <w:bCs/>
          <w:color w:val="000000"/>
          <w:sz w:val="20"/>
          <w:szCs w:val="20"/>
        </w:rPr>
        <w:t>ITU-R F. 385-10 </w:t>
      </w:r>
      <w:r w:rsidRPr="007E52B2">
        <w:rPr>
          <w:rFonts w:ascii="Arial" w:hAnsi="Arial" w:cs="Arial"/>
          <w:color w:val="000000"/>
          <w:sz w:val="20"/>
          <w:szCs w:val="20"/>
        </w:rPr>
        <w:t>Radio-frequency channel arrangements for fixed wireless systems operating in the 7 110–7 900 MHz band</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Style w:val="bold"/>
          <w:rFonts w:ascii="Arial" w:hAnsi="Arial" w:cs="Arial"/>
          <w:b/>
          <w:bCs/>
          <w:color w:val="000000"/>
          <w:sz w:val="20"/>
          <w:szCs w:val="20"/>
        </w:rPr>
        <w:t>ITU-R F. 386-9 </w:t>
      </w:r>
      <w:r w:rsidRPr="007E52B2">
        <w:rPr>
          <w:rFonts w:ascii="Arial" w:hAnsi="Arial" w:cs="Arial"/>
          <w:color w:val="000000"/>
          <w:sz w:val="20"/>
          <w:szCs w:val="20"/>
        </w:rPr>
        <w:t>Radio-frequency channel arrangements for fixed wireless systems operating in the 8 GHz (7 725 to 8 500 MHz) band</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Fonts w:ascii="Arial" w:hAnsi="Arial" w:cs="Arial"/>
          <w:color w:val="000000"/>
          <w:sz w:val="20"/>
          <w:szCs w:val="20"/>
        </w:rPr>
        <w:t>Annex 2 RF channel arrangements for digital FWS operating in the 7725–8275 and 8275–8500 MHz bands based on multiples of 3.5 MHz bandwidth referred to in </w:t>
      </w:r>
      <w:r w:rsidRPr="007E52B2">
        <w:rPr>
          <w:rStyle w:val="italik"/>
          <w:rFonts w:ascii="Arial" w:hAnsi="Arial" w:cs="Arial"/>
          <w:i/>
          <w:iCs/>
          <w:color w:val="000000"/>
          <w:sz w:val="20"/>
          <w:szCs w:val="20"/>
        </w:rPr>
        <w:t>recommends</w:t>
      </w:r>
      <w:r w:rsidRPr="007E52B2">
        <w:rPr>
          <w:rFonts w:ascii="Arial" w:hAnsi="Arial" w:cs="Arial"/>
          <w:color w:val="000000"/>
          <w:sz w:val="20"/>
          <w:szCs w:val="20"/>
        </w:rPr>
        <w:t> 1</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Fonts w:ascii="Arial" w:hAnsi="Arial" w:cs="Arial"/>
          <w:color w:val="000000"/>
          <w:sz w:val="20"/>
          <w:szCs w:val="20"/>
        </w:rPr>
        <w:t>Annex 6 Description of the RF channel arrangement referred to in </w:t>
      </w:r>
      <w:r w:rsidRPr="007E52B2">
        <w:rPr>
          <w:rStyle w:val="italik"/>
          <w:rFonts w:ascii="Arial" w:hAnsi="Arial" w:cs="Arial"/>
          <w:i/>
          <w:iCs/>
          <w:color w:val="000000"/>
          <w:sz w:val="20"/>
          <w:szCs w:val="20"/>
        </w:rPr>
        <w:t>recommends</w:t>
      </w:r>
      <w:r w:rsidRPr="007E52B2">
        <w:rPr>
          <w:rFonts w:ascii="Arial" w:hAnsi="Arial" w:cs="Arial"/>
          <w:color w:val="000000"/>
          <w:sz w:val="20"/>
          <w:szCs w:val="20"/>
        </w:rPr>
        <w:t> 5</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Style w:val="bold"/>
          <w:rFonts w:ascii="Arial" w:hAnsi="Arial" w:cs="Arial"/>
          <w:b/>
          <w:bCs/>
          <w:color w:val="000000"/>
          <w:sz w:val="20"/>
          <w:szCs w:val="20"/>
        </w:rPr>
        <w:t>ITU-R M.1638 </w:t>
      </w:r>
      <w:r w:rsidRPr="007E52B2">
        <w:rPr>
          <w:rFonts w:ascii="Arial" w:hAnsi="Arial" w:cs="Arial"/>
          <w:color w:val="000000"/>
          <w:sz w:val="20"/>
          <w:szCs w:val="20"/>
        </w:rPr>
        <w:t>Characteristics of and protection criteria for sharing studies for radiolocation (except ground based meteorological radars) and aeronautical radionavigation radars operating in the frequency bands between 5250 and 5850 MHz</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Style w:val="bold"/>
          <w:rFonts w:ascii="Arial" w:hAnsi="Arial" w:cs="Arial"/>
          <w:b/>
          <w:bCs/>
          <w:color w:val="000000"/>
          <w:sz w:val="20"/>
          <w:szCs w:val="20"/>
        </w:rPr>
        <w:t>ITU-R M.1796-3 </w:t>
      </w:r>
      <w:r w:rsidRPr="007E52B2">
        <w:rPr>
          <w:rFonts w:ascii="Arial" w:hAnsi="Arial" w:cs="Arial"/>
          <w:color w:val="000000"/>
          <w:sz w:val="20"/>
          <w:szCs w:val="20"/>
        </w:rPr>
        <w:t>Characteristics of and protection criteria for radars operating in the radiodetermination service in the frequency band 8 500–10 680 MHz</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Style w:val="bold"/>
          <w:rFonts w:ascii="Arial" w:hAnsi="Arial" w:cs="Arial"/>
          <w:b/>
          <w:bCs/>
          <w:color w:val="000000"/>
          <w:sz w:val="20"/>
          <w:szCs w:val="20"/>
        </w:rPr>
        <w:t>ITU-R F. 1568-1 </w:t>
      </w:r>
      <w:r w:rsidRPr="007E52B2">
        <w:rPr>
          <w:rFonts w:ascii="Arial" w:hAnsi="Arial" w:cs="Arial"/>
          <w:color w:val="000000"/>
          <w:sz w:val="20"/>
          <w:szCs w:val="20"/>
        </w:rPr>
        <w:t>Radio-frequency block arrangements for fixed wireless access systems in the range 10.15–10.3/10.5–10.65 GHz</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Style w:val="bold"/>
          <w:rFonts w:ascii="Arial" w:hAnsi="Arial" w:cs="Arial"/>
          <w:b/>
          <w:bCs/>
          <w:color w:val="000000"/>
          <w:sz w:val="20"/>
          <w:szCs w:val="20"/>
        </w:rPr>
        <w:t>ITU-R F. 387-13 </w:t>
      </w:r>
      <w:r w:rsidRPr="007E52B2">
        <w:rPr>
          <w:rFonts w:ascii="Arial" w:hAnsi="Arial" w:cs="Arial"/>
          <w:color w:val="000000"/>
          <w:sz w:val="20"/>
          <w:szCs w:val="20"/>
        </w:rPr>
        <w:t>Radio-frequency channel arrangements for fixed wireless systems operating in the 10.7–11.7 GHz band</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Style w:val="bold"/>
          <w:rFonts w:ascii="Arial" w:hAnsi="Arial" w:cs="Arial"/>
          <w:b/>
          <w:bCs/>
          <w:color w:val="000000"/>
          <w:sz w:val="20"/>
          <w:szCs w:val="20"/>
        </w:rPr>
        <w:t>ITU-R F. 497-7 </w:t>
      </w:r>
      <w:r w:rsidRPr="007E52B2">
        <w:rPr>
          <w:rFonts w:ascii="Arial" w:hAnsi="Arial" w:cs="Arial"/>
          <w:color w:val="000000"/>
          <w:sz w:val="20"/>
          <w:szCs w:val="20"/>
        </w:rPr>
        <w:t>Radio-frequency channel arrangements for fixed wireless systems operating in the 13 GHz (12.75–13.25 GHz) frequency band</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Style w:val="bold"/>
          <w:rFonts w:ascii="Arial" w:hAnsi="Arial" w:cs="Arial"/>
          <w:b/>
          <w:bCs/>
          <w:color w:val="000000"/>
          <w:sz w:val="20"/>
          <w:szCs w:val="20"/>
        </w:rPr>
        <w:t>ITU -R M.1644 </w:t>
      </w:r>
      <w:r w:rsidRPr="007E52B2">
        <w:rPr>
          <w:rFonts w:ascii="Arial" w:hAnsi="Arial" w:cs="Arial"/>
          <w:color w:val="000000"/>
          <w:sz w:val="20"/>
          <w:szCs w:val="20"/>
        </w:rPr>
        <w:t>Technical and operational characteristics, and criteria for protecting the mission of radars in the radiolocation and radionavigation service operating in the frequency band 13.75–14 GHz</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Style w:val="bold"/>
          <w:rFonts w:ascii="Arial" w:hAnsi="Arial" w:cs="Arial"/>
          <w:b/>
          <w:bCs/>
          <w:color w:val="000000"/>
          <w:sz w:val="20"/>
          <w:szCs w:val="20"/>
        </w:rPr>
        <w:t>ITU-R F.636-5 </w:t>
      </w:r>
      <w:r w:rsidRPr="007E52B2">
        <w:rPr>
          <w:rFonts w:ascii="Arial" w:hAnsi="Arial" w:cs="Arial"/>
          <w:color w:val="000000"/>
          <w:sz w:val="20"/>
          <w:szCs w:val="20"/>
        </w:rPr>
        <w:t>Radio-frequency channel arrangements for fixed wireless systems operating in the 14.4–15.35 GHz band</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Style w:val="bold"/>
          <w:rFonts w:ascii="Arial" w:hAnsi="Arial" w:cs="Arial"/>
          <w:b/>
          <w:bCs/>
          <w:color w:val="000000"/>
          <w:sz w:val="20"/>
          <w:szCs w:val="20"/>
        </w:rPr>
        <w:t>ITU-R F.595-11 </w:t>
      </w:r>
      <w:r w:rsidRPr="007E52B2">
        <w:rPr>
          <w:rFonts w:ascii="Arial" w:hAnsi="Arial" w:cs="Arial"/>
          <w:color w:val="000000"/>
          <w:sz w:val="20"/>
          <w:szCs w:val="20"/>
        </w:rPr>
        <w:t>Radio-frequency channel arrangements for fixed wireless systems operating in the 17.7–19.7 GHz frequency band</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Style w:val="bold"/>
          <w:rFonts w:ascii="Arial" w:hAnsi="Arial" w:cs="Arial"/>
          <w:b/>
          <w:bCs/>
          <w:color w:val="000000"/>
          <w:sz w:val="20"/>
          <w:szCs w:val="20"/>
        </w:rPr>
        <w:t>ITU-R F.637-5 </w:t>
      </w:r>
      <w:r w:rsidRPr="007E52B2">
        <w:rPr>
          <w:rFonts w:ascii="Arial" w:hAnsi="Arial" w:cs="Arial"/>
          <w:color w:val="000000"/>
          <w:sz w:val="20"/>
          <w:szCs w:val="20"/>
        </w:rPr>
        <w:t>Radio-frequency channel arrangements for fixed wireless systems operating in the 21.2–23.6 GHz band</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Fonts w:ascii="Arial" w:hAnsi="Arial" w:cs="Arial"/>
          <w:color w:val="000000"/>
          <w:sz w:val="20"/>
          <w:szCs w:val="20"/>
        </w:rPr>
        <w:t>Annex 2 Radio-frequency channel arrangements for some CEPT administrations in the band 22.0-23.6 GHz in accordance with </w:t>
      </w:r>
      <w:r w:rsidRPr="007E52B2">
        <w:rPr>
          <w:rStyle w:val="italik"/>
          <w:rFonts w:ascii="Arial" w:hAnsi="Arial" w:cs="Arial"/>
          <w:i/>
          <w:iCs/>
          <w:color w:val="000000"/>
          <w:sz w:val="20"/>
          <w:szCs w:val="20"/>
        </w:rPr>
        <w:t>recommends</w:t>
      </w:r>
      <w:r w:rsidRPr="007E52B2">
        <w:rPr>
          <w:rFonts w:ascii="Arial" w:hAnsi="Arial" w:cs="Arial"/>
          <w:color w:val="000000"/>
          <w:sz w:val="20"/>
          <w:szCs w:val="20"/>
        </w:rPr>
        <w:t> 2</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Fonts w:ascii="Arial" w:hAnsi="Arial" w:cs="Arial"/>
          <w:color w:val="000000"/>
          <w:sz w:val="20"/>
          <w:szCs w:val="20"/>
        </w:rPr>
        <w:t>Annex 4 Radio-frequency channel arrangements in the band 21.2–23.6 GHz in accordance with recommends 2 (Germany)</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Style w:val="bold"/>
          <w:rFonts w:ascii="Arial" w:hAnsi="Arial" w:cs="Arial"/>
          <w:b/>
          <w:bCs/>
          <w:color w:val="000000"/>
          <w:sz w:val="20"/>
          <w:szCs w:val="20"/>
        </w:rPr>
        <w:t>ITU-R F.748-4 </w:t>
      </w:r>
      <w:r w:rsidRPr="007E52B2">
        <w:rPr>
          <w:rFonts w:ascii="Arial" w:hAnsi="Arial" w:cs="Arial"/>
          <w:color w:val="000000"/>
          <w:sz w:val="20"/>
          <w:szCs w:val="20"/>
        </w:rPr>
        <w:t>Radio-frequency arrangements for systems of the fixed service operating in the 25, 26 and 28 GHz bands</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Fonts w:ascii="Arial" w:hAnsi="Arial" w:cs="Arial"/>
          <w:color w:val="000000"/>
          <w:sz w:val="20"/>
          <w:szCs w:val="20"/>
        </w:rPr>
        <w:lastRenderedPageBreak/>
        <w:t>Annex 1 Radio-frequency channel arrangements for some CEPT administrations in the band 24.5–26.5 GHz in accordance with </w:t>
      </w:r>
      <w:r w:rsidRPr="007E52B2">
        <w:rPr>
          <w:rStyle w:val="italik"/>
          <w:rFonts w:ascii="Arial" w:hAnsi="Arial" w:cs="Arial"/>
          <w:i/>
          <w:iCs/>
          <w:color w:val="000000"/>
          <w:sz w:val="20"/>
          <w:szCs w:val="20"/>
        </w:rPr>
        <w:t>recommends</w:t>
      </w:r>
      <w:r w:rsidRPr="007E52B2">
        <w:rPr>
          <w:rFonts w:ascii="Arial" w:hAnsi="Arial" w:cs="Arial"/>
          <w:color w:val="000000"/>
          <w:sz w:val="20"/>
          <w:szCs w:val="20"/>
        </w:rPr>
        <w:t> 2</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Style w:val="bold"/>
          <w:rFonts w:ascii="Arial" w:hAnsi="Arial" w:cs="Arial"/>
          <w:b/>
          <w:bCs/>
          <w:color w:val="000000"/>
          <w:sz w:val="20"/>
          <w:szCs w:val="20"/>
        </w:rPr>
        <w:t>ITU-R F.1520-3 </w:t>
      </w:r>
      <w:r w:rsidRPr="007E52B2">
        <w:rPr>
          <w:rFonts w:ascii="Arial" w:hAnsi="Arial" w:cs="Arial"/>
          <w:color w:val="000000"/>
          <w:sz w:val="20"/>
          <w:szCs w:val="20"/>
        </w:rPr>
        <w:t>Radio-frequency arrangements for systems in the fixed service operating in the band 31.8–33.4 GHz</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Fonts w:ascii="Arial" w:hAnsi="Arial" w:cs="Arial"/>
          <w:color w:val="000000"/>
          <w:sz w:val="20"/>
          <w:szCs w:val="20"/>
        </w:rPr>
        <w:t>Annex 1 Radio-frequency channel arrangement in the band 31.8–33.4 GHz</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Style w:val="bold"/>
          <w:rFonts w:ascii="Arial" w:hAnsi="Arial" w:cs="Arial"/>
          <w:b/>
          <w:bCs/>
          <w:color w:val="000000"/>
          <w:sz w:val="20"/>
          <w:szCs w:val="20"/>
        </w:rPr>
        <w:t>ITU-R F.749-3 </w:t>
      </w:r>
      <w:r w:rsidRPr="007E52B2">
        <w:rPr>
          <w:rFonts w:ascii="Arial" w:hAnsi="Arial" w:cs="Arial"/>
          <w:color w:val="000000"/>
          <w:sz w:val="20"/>
          <w:szCs w:val="20"/>
        </w:rPr>
        <w:t>Radio-frequency arrangements for systems of the fixed service operating in sub-bands in the 36–40.5 GHz band</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Fonts w:ascii="Arial" w:hAnsi="Arial" w:cs="Arial"/>
          <w:color w:val="000000"/>
          <w:sz w:val="20"/>
          <w:szCs w:val="20"/>
        </w:rPr>
        <w:t>Annex 1 Radio-frequency channel arrangements in the band 37.0–39.5 GHz used by some CEPT administrations in accordance with </w:t>
      </w:r>
      <w:r w:rsidRPr="007E52B2">
        <w:rPr>
          <w:rStyle w:val="italik"/>
          <w:rFonts w:ascii="Arial" w:hAnsi="Arial" w:cs="Arial"/>
          <w:i/>
          <w:iCs/>
          <w:color w:val="000000"/>
          <w:sz w:val="20"/>
          <w:szCs w:val="20"/>
        </w:rPr>
        <w:t>recommends</w:t>
      </w:r>
      <w:r w:rsidRPr="007E52B2">
        <w:rPr>
          <w:rFonts w:ascii="Arial" w:hAnsi="Arial" w:cs="Arial"/>
          <w:color w:val="000000"/>
          <w:sz w:val="20"/>
          <w:szCs w:val="20"/>
        </w:rPr>
        <w:t> 2</w:t>
      </w:r>
    </w:p>
    <w:p w:rsidR="007E52B2" w:rsidRDefault="007E52B2" w:rsidP="00D23D60">
      <w:pPr>
        <w:widowControl/>
        <w:autoSpaceDE/>
        <w:autoSpaceDN/>
        <w:ind w:firstLine="480"/>
        <w:rPr>
          <w:rFonts w:ascii="Arial" w:hAnsi="Arial" w:cs="Arial"/>
          <w:b/>
          <w:bCs/>
          <w:color w:val="000000"/>
          <w:sz w:val="20"/>
          <w:szCs w:val="20"/>
          <w:lang w:val="sr-Cyrl-RS"/>
        </w:rPr>
      </w:pPr>
    </w:p>
    <w:p w:rsidR="007E52B2" w:rsidRDefault="007E52B2" w:rsidP="00D23D60">
      <w:pPr>
        <w:widowControl/>
        <w:autoSpaceDE/>
        <w:autoSpaceDN/>
        <w:ind w:firstLine="480"/>
        <w:rPr>
          <w:rFonts w:ascii="Arial" w:hAnsi="Arial" w:cs="Arial"/>
          <w:b/>
          <w:bCs/>
          <w:color w:val="000000"/>
          <w:sz w:val="20"/>
          <w:szCs w:val="20"/>
          <w:lang w:val="sr-Cyrl-RS"/>
        </w:rPr>
      </w:pP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b/>
          <w:bCs/>
          <w:color w:val="000000"/>
          <w:sz w:val="20"/>
          <w:szCs w:val="20"/>
        </w:rPr>
        <w:t>ПРИЛОГ 4</w:t>
      </w:r>
    </w:p>
    <w:p w:rsidR="00D23D60" w:rsidRDefault="00D23D60" w:rsidP="00D23D60">
      <w:pPr>
        <w:widowControl/>
        <w:autoSpaceDE/>
        <w:autoSpaceDN/>
        <w:ind w:firstLine="480"/>
        <w:jc w:val="center"/>
        <w:rPr>
          <w:rFonts w:ascii="Arial" w:hAnsi="Arial" w:cs="Arial"/>
          <w:b/>
          <w:bCs/>
          <w:color w:val="000000"/>
          <w:sz w:val="20"/>
          <w:szCs w:val="20"/>
          <w:lang w:val="sr-Cyrl-RS"/>
        </w:rPr>
      </w:pPr>
      <w:r w:rsidRPr="007E52B2">
        <w:rPr>
          <w:rFonts w:ascii="Arial" w:hAnsi="Arial" w:cs="Arial"/>
          <w:b/>
          <w:bCs/>
          <w:color w:val="000000"/>
          <w:sz w:val="20"/>
          <w:szCs w:val="20"/>
        </w:rPr>
        <w:t>СПИСАК СРПСКИХ СТАНДАРДА</w:t>
      </w:r>
      <w:r w:rsidRPr="007E52B2">
        <w:rPr>
          <w:rFonts w:ascii="Arial" w:hAnsi="Arial" w:cs="Arial"/>
          <w:b/>
          <w:bCs/>
          <w:color w:val="000000"/>
          <w:sz w:val="20"/>
          <w:szCs w:val="20"/>
        </w:rPr>
        <w:br/>
        <w:t>донетих идентичним преузимањем европских стандарда</w:t>
      </w:r>
    </w:p>
    <w:p w:rsidR="00F943AF" w:rsidRPr="00F943AF" w:rsidRDefault="00F943AF" w:rsidP="00D23D60">
      <w:pPr>
        <w:widowControl/>
        <w:autoSpaceDE/>
        <w:autoSpaceDN/>
        <w:ind w:firstLine="480"/>
        <w:jc w:val="center"/>
        <w:rPr>
          <w:rFonts w:ascii="Arial" w:hAnsi="Arial" w:cs="Arial"/>
          <w:b/>
          <w:bCs/>
          <w:color w:val="000000"/>
          <w:sz w:val="20"/>
          <w:szCs w:val="20"/>
          <w:lang w:val="sr-Cyrl-RS"/>
        </w:rPr>
      </w:pPr>
    </w:p>
    <w:tbl>
      <w:tblPr>
        <w:tblW w:w="0" w:type="auto"/>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030"/>
        <w:gridCol w:w="12820"/>
      </w:tblGrid>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b/>
                <w:bCs/>
                <w:color w:val="000000"/>
                <w:sz w:val="20"/>
                <w:szCs w:val="20"/>
              </w:rPr>
              <w:t>Ознака стандарда</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b/>
                <w:bCs/>
                <w:color w:val="000000"/>
                <w:sz w:val="20"/>
                <w:szCs w:val="20"/>
              </w:rPr>
              <w:t>Назив стандарда</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300 065</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Ускопојасни телеграфски уређаји са директним исписом за пријем метеоролошких или навигационих информација (NAVTEX)</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300 066</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Плутајући поморски сателитски радио-фарови за индикацију положаја у хитним случајевима (ЕПИРБ) који раде у фреквенцијским опсезима од 406,0 MHz до 406,1 MHz – Техничке карактеристике и методе мерења</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300 086</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Копнена мобилна служба – Радио-опрема са унутрашњим или спољашњим RF конектором, првенствено намењена за аналогни говор</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300 113</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Копнена мобилна служба – Радио-опрема намењена за пренос података (и/или говора), која користи модулацију са константном или променљивом анвелопом и има антенски конектор</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300 152</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Електромагнетна компатибилност и радио спектар (ERM) – Поморски радио-фарови за индикацију положаја у хитним случајевимa (EPIRB) намењени за употребу на фреквенцији од 121,5 MHz или на фреквенцијама из 121,5 MHz и 243 MHz за потребе самонавођења (стандард из више делова)</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300 162</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Електромагнетна компатибилност и радио спектар (ERM) – Радио-телефонски предајници и пријемници за поморску мобилну службу који раде у VHF опсезима (стандард из више делова)</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300 219</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Копнена мобилна служба – Радио-опрема за пренос сигнала који побуђују специфичан одзив пријемника</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300 220</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Уређаји кратког домета (SRD) – Радио-опрема која се користи у фреквенцијском опсегу од 25 MHz до 1 000 MHz (стандард из више делова)</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300 224</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Ланд мобиле сервис – Радио опрема која се користи за пружање услуге корачања, радећи у фреквентном опсегу 25 MHz од 470 MHz</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300 296</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Копнена мобилна служба – Радио-опрема са саставном антеном, намењена првенствено за аналогни говор</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300 328</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Широкопојасни системи преноса – Опрема за пренос података која ради у фреквенцијском опсегу од 2,4 GHz</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300 330</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Уређаји кратког домета (SRD) – Радио опрема која ради у фреквентном опсегу 9 kHz од 25 MHz и индуктивне системе петље који функционишу у фреквентном опсегу 9 kHz од 30 MHz</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300 338</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Техничке карактеристике и методе мерења за опрему за генерисање, пренос и пријем дигиталног селективног позива (DSC) у поморској MF, MF/HF и/или VHF мобилној служби (стандард из више делова)</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300 341</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Копнена мобилна служба – Радио-опрема са саставном антеном за пренос сигнала који побуђују специфичан одзив пријемника</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300 390</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Копнена мобилна служба – Радио-опрема са саставном антеном, намењена за пренос података</w:t>
            </w:r>
          </w:p>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(и говора)</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300 422</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Бежични микрофони – Аудио PMSE опрема до 3 GHz (стандард из више делова)</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300 433</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Радио -опрема која ради у фреквенцијском опсегу намењеном грађанима (CB)</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300 440</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Уређаји кратког домета (SRD) – Радио-опрема за коришћење у фреквенцијском опсегу од 1 GHz до 40 GHz</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300 454</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Електромагнетна компатибилност и радио спектар (ERM) – Опрема за широкопојасне аудио-везе</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300 471</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Електромагнетна компатибилност и радио спектар (ERM) – Копнена мобилна служба – Правила за приступ и дељење заједнички коришћених фреквенцијских канала за опрему која је усаглашена са стандардом ЕN 300 113</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300 674</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Телематика у транспорту и саобраћају (TTT) – Опрема за пренос (500 kbit/s/250 kbit/s) намењена за комуникације кратког домета (DSRC), која ради у фреквенцијском опсегу од 5 795 MHz до 5 815 MHz (стандард из више делова)</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lastRenderedPageBreak/>
              <w:t>SRPS EN 300 676</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VHF ручни, мобилни и фиксни радио предајници, пријемници и примопредаја на терену за VHF ваздухопловну мобилну службу који користе амплитудску модулацију</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300 698</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Радиотелефонски предајници и пријемници за поморску мобилну службу који раде у VHF oпсезима и користе се на унутрашњим пловним путевима</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300 700</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Дигиталне побољшане бежичне телекомуникације (DECT) – Бежичне релејне станице (WRS)</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300 718</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Фарови за лоцирање жртава лавине који раде на фреквенцији од 457 kHz – Предајно-пријемни системи (стандард из више делова)</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300 720</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UHF комуникациони системи и опрема на пловилу</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301 025</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VHF радиотелефонска опрема за опште комуникације и пратећа опрема за дигитално селективно позивање (DSC) класе D</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301 091</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Уређаји кратког домета – Телематика у транспорту и саобраћају (ТТТ) – Радарска опрема која ради у фреквенцијском опсегу од 76 GHz до 77 GHz (стандард из више делова)</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301 166</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Копнена мобилна служба – Радио-опрема намењена за аналогну и/или дигиталну комуникацију (говор и/или подаци) која ради на ускопојасним фреквенцијским каналима и има антенски конектор</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301 178</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Преносива VHF радиотелефонска опрема за поморску мобилну службу, која ради у VHF опсезима (за примене које нису GMDSS)</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301 357</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Бежични аудио-уређаји који раде у фреквенцијском опсегу од 25 MHz до 2 000 MHz</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301 360</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Сателитске земаљске станице и системи (SES) – Хармонизовани стандард за сателитске интерактивне терминале (SIT) и сателитске корисничке терминале (SUT) за пренос ка геостационарним сателитима у фреквенцијским опсезима од 27,5 GHz до 29,5 GHz</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301 406</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Дигиталне побољшане бежичне телекомуникације (DECT)</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301 426</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Сателитске земаљске станице и системи (SES) – Хармонизовани стандард за копнене мобилне сателитске земаљске станице (LMES) и поморске мобилне сателитске земаљске станице (ММЕS) са малим протоком података, које нису предвиђене за комуникације које се односе на опасност и безбедност и које раде у фреквенцијским опсезима 1,5/1,6 GHz</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301 427</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Сателитске земаљске станице и системи (SES) – Хармонизовани стандард за мобилне земаљске станице (MES), укључујући ручне земаљске станице, за сателитске персоналне комуникационе мреже (S-PCN) које раде у фреквенцијским опсезима 1,6/2,4 GHz у оквиру мобилне сателитске службе (MSS)</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301 428</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Сателитске земаљске станице и системи (SES) – Хармонизовани стандард за терминалну опрему веома мале апертуре (VSAT) – Предајне, примопредајне и пријемне сателитске земаљске станице које раде у фреквенцијским опсезима 11/12/14 GHz</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301 430</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Сателитске земаљске станице и системи (SES) – Хармонизовани стандард за сателитске преносиве земаљске станице за прикупљање вести (SNG TES), које раде у фреквенцијским опсезима oд 11 GHz дo 12 GHz и oд 13 GHz до 14 GHz</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301 441</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Сателитске земаљске станице и системи (SES) – Хармонизовани стандард за мобилне земаљске станице (MES), укључујући ручне земаљске станице, за сателитске персоналне комуникационе мреже (S-PCN) које раде у фреквенцијским опсезима 1,6/2,4 GHz у оквиру мобилне сателитске службе (MSS)</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301 442</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Сателитске земаљске станице и системи (SES) – Хармонизовани стандард за мобилне земаљске станице (MES), укључујући ручне земаљске станице, за сателитске персоналне комуникационе мреже (S-PCN) које раде у фреквенцијским опсезима од 1 980 MHz дo 2 010 MHz (Земља–свемир) и од 2 170 MHz дo 2 200 MHz (свемир–Земља) у оквиру мобилне сателитске службе (MSS)</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301 443</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Сателитске земаљске станице и системи (SES) – Хармонизовани стандард за терминалну опрему веома мале апертуре (VSAT) – Предајне, примопредајне и пријемне сателитске земаљске станице које раде у фреквенцијским опсезима од 4 GHz и 6 GHz</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301 444</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Сателитске земаљске станице и системи (SES) – Копнене мобилне земаљске станице (LMES) и поморске мобилне земаљске станице (MMES) које омогућују комуникације путем говора и података и раде у фреквенцијским опсезима од 1,5 GHz и 1,6 GHz</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301 447</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Сателитске земаљске станице и системи (SES) – Хармонизовани стандард за сателитске земаљске станице на пловилима (ESV) које раде у фреквенцијским опсезима 4/6 GHz, намењеним за фиксну сателитску службу (FSS)</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301 459</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Сателитске земаљске станице и системи (SES) – Хармонизовани стандард за сателитску интерактивну терминалску опрему (SIT) и сателитску корисничку терминалску опрему (SUT) за пренос ка сателитима у геостационарној орбити у фреквенцијским опсезима од 29,5 GHz дo 30,0 GHz</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301 473</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 xml:space="preserve">Сателитске земаљске станице и системи (SES) – Хармонизовани стандард за сателитске земаљске станице на летелицама (AES) које раде у фреквенцијском опсегу испод 3 GHz у оквиру ваздухопловне мобилне сателитске службе (AMSS)/мобилне сателитске службе </w:t>
            </w:r>
            <w:r w:rsidRPr="007E52B2">
              <w:rPr>
                <w:rFonts w:ascii="Arial" w:hAnsi="Arial" w:cs="Arial"/>
                <w:color w:val="000000"/>
                <w:sz w:val="20"/>
                <w:szCs w:val="20"/>
              </w:rPr>
              <w:lastRenderedPageBreak/>
              <w:t>(MSS) и/или ваздухопловне мобилне сателитске и ваздухопловне мобилне сателитске (R) службе (AMS(R)S)/мобилне сателитске службе (MSS)</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lastRenderedPageBreak/>
              <w:t>SRPS EN 301 502</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Глобални систем за мобилне комуникације (GSM) – Опрема базних станица (BS)</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301 511</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Глобални систем за мобилне комуникације (GSM) – Опрема мобилних станица (MS)</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301 559</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Уређаји кратког домета (SRD) – Активни медицински имплантати мале снаге (LP-AMI) и припадајућа периферна опрема (LP-AMI-P) који раде у фреквенцијском опсегу од 2 483,5 MHz до 2 500 MHz</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301 681</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Сателитске земаљске станице и системи (SES) – Хармонизовани стандард за мобилне земаљске станице (MES) геостационарних мобилних сателитских система, укључујући ручне земаљске станице, за сателитске персоналне комуникационе мреже (S-PCN) у фреквенцијским опсезима 1,5/1,6 GHz у оквиру мобилне сателитске службе (MSS)</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301 721</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Сателитске земаљске станице и системи (SES) – Хармонизовани стандард за мобилне земаљске станице (MES) које омогућавају пренос података малим битским протоком (LBRDC) користећи сателите на нижим земаљским орбитама (LEO) и раде испод 1 GHz</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301 783</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Комерцијално расположива аматерска радио-опрема</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301 839</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Активни медицински имплантати (ULP-AMI) и периферни уређаји (ULP-AMI-P) веома мале снаге, који раде у фреквенцијском опсегу од 402 MHz до 405 MHz</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301 841</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Дигитална веза ваздух–земља у VHF опсегу (VDL), мод 2 – Техничке карактеристике и методе мерења за опрему на земљи</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301 842</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Радио -опрема за дигиталну везу ваздух–земља у VHF опсегу (VDL), мод 4 – Техничке карактеристике и методе мерења за опрему на земљи</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301 893</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5 GHz RLAN</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301 908</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IMT ћелијске мреже – Хармонизовани стандард за приступ радио-спектру (стандард из више делова)</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301 929</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VHF предајници и пријемници обалских станица за GMDSS и друге примене у поморској мобилној служби</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302 017</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Предајна опрема за емитовање амплитудски модулисаног (AM) аудио-сигнала у радиодифузној служби</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302 018</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Предајна опрема за емитовање фреквенцијски модулисаног (FM) аудио-сигнала у радиодифузној служби</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302 054</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Метеоролошка помагала (Met Aids) – Радио-сонде које се користе у фреквенцијском опсегу од 400,15 MHz дo 406 MHz са нивоима снаге до 200 mW</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302 064</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Бежичне видео-везе (WVL) које раде у фреквенцијском опсегу од 1,3 GHz до 50 GHz</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302 065</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Уређаји кратког домета (SRD) који користе ултраширокопојасну технологију (UWB)</w:t>
            </w:r>
          </w:p>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(стандард из више делова)</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302 066</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Уређаји кратког домета (SRD) – Уређаји за примену радара за испитивање тла и зидова (GPR/WPR) – Хармонизовани стандард за приступ радио-спектру</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302 077</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Опрема за емитовање дигиталног аудио-сигнала у радиодифузној служби (DAB)</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302 152</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Сателитски фарови за персонално лоцирање (PLB) који раде у фреквенцијском опсегу од 406,0 MHz дo 406,1 MHz</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302 186</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Сателитске земаљске станице и системи (SES) – Сателитске мобилне земаљске станице на летелици (AES) које раде у фреквенцијским опсезима 11/12/14 GHz</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302 194</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Уређаји кратког домета (SRD) – Навигациони радари који се користе на унутрашњим пловним путевима</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302 195</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Уређаји кратког домета (SRD) – Активни медицински имплантати веома мале снаге (ULP-AMI) и прибор (ULP-AMI-P) који раде у фреквенцијском опсегу од 9 kHz до 315 kHz</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302 208</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Опрема за радиофреквенцијску идентификацију која ради у фреквенцијском опсегу од 865 MHz до 868 MHz са нивоима снаге до 2 W и у фреквенцијском опсегу од 915 MHz до 921 MHz са нивоима снаге до 4 W</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302 217</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Фиксни радио-системи – Карактеристике и захтеви за опрему и антене система преносa од тачке до тачке – Дигитални системи који раде у фреквенцијским опсезима од 1 GHz до 86 GHz</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302 245</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Опрема за емитовање дигиталног аудио-сигнала (DRM – Digital Radio Mondiale) у радиодифузној служби</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302 248</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Навигациони радари за коришћење на пловилима која не припадају пловилима по SOLAS конвенцији</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302 264</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 xml:space="preserve">Уређаји кратког домета – Телематика у друмском транспорту у саобраћају (RТТТ) – Радарска опрема кратког домета која ради у </w:t>
            </w:r>
            <w:r w:rsidRPr="007E52B2">
              <w:rPr>
                <w:rFonts w:ascii="Arial" w:hAnsi="Arial" w:cs="Arial"/>
                <w:color w:val="000000"/>
                <w:sz w:val="20"/>
                <w:szCs w:val="20"/>
              </w:rPr>
              <w:lastRenderedPageBreak/>
              <w:t>фреквенцијском опсегу од 77 GHz до 81 GHz</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lastRenderedPageBreak/>
              <w:t>SRPS EN 302 288</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Уређаји кратког домета – Телематика у друмском транспорту и саобраћају (RTTT) – Ултраширокопојасна радарска опрема која ради у фреквенцијском опсегу од 24,25 GHz до 26,65 GHz</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302 296</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Дигитални терестрички TV предајници</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302 625</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Електромагнетска компатибилност и радио-спектар (ERM) – Примене опреме са широкопојасним приступом у опсегу од 5 ГХз за помоћ у случају несрећа</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302 755</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Радиодифузно емитовање дигиталног видео-сигнала (DVB) – Структура оквира, кодирање канала и модулација за другу генерацију система за терестричко радиодифузно емитовање дигиталне телевизије (DVB-T2)</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302 326</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Фиксни радио-системи – Опрема и антене система за пренос између више тачака</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302 340</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Сателитске земаљске станице и системи (SES) – Хармонизовани стандард за сателитске земаљске станице на пловилима (ESV) које раде у фреквенцијским опсезима 11/12/14 GHz, намењеним за фиксну сателитску службу</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302 372</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Уређаји кратког домета (SRD) – Опрема радара за мерење нивоа у резервоару (TLPR), која ради у фреквенцијским опсезима од 4,5 GHz дo 7 GHz, oд 8,5 GHz дo 10,6 GHz, oд 24,05 GHz дo 27 GHz, oд 57 GHz дo 64 GHz, oд 75 GHz дo 85 GHz</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302 448</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Сателитске земаљске станице и системи (SES) – Хармонизовани стандард за земаљске станице на возовима (EST) које се користе за праћење и раде у фреквенцијским опсезима 14/12 GHz</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302 454</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Метеоролошка помагала (Met Aids) – Радио-сонде које се користе у фреквенцијском опсегу од 1 668,4 MHz дo 1 690 MHz</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302 480</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Системи мобилних комуникација на летелици (MCOBA)</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302 502</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Системи бежичног приступа (WAS) – Фиксни широкопојасни системи за пренос података, који раде у фреквенцијском опсегу од 5,8 GHz</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302 510</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Уређаји кратког домета (SRD) – Активни медицински мембрански имплантати веома мале снаге (ULP-AMI-M) и периферни уређаји (ULP-AMI-M-P) који раде у фреквенцијском опсегу од 30 MHz до 37,5 MHz</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302 536</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Уређаји кратког домета (SRD) – Радио -опрема која ради у фреквенцијском опсегу од 315 kHz до 600 kHz за имплантабилне уређаје веома мале снаге (ULO-AID) за животиње и припадајућа периферна опрема</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302 537</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Системи веома мале снаге који омогућавају услугу преноса медицинских података (MEDS) и раде у фреквенцијским опсезима од 401 MHz до 402 MHz и од 405 MHz до 406 MHz</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302 561</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Копнена мобилна служба – Радио-опрема која користи модулацију са константном или променљивом анвелопом и која ради у фреквенцијским каналима ширине 25 kHz, 50 kHz, 100 kHz или 150 kHz</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302 567</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Вишегигабитска радио-опрема која ради у фреквенцијском опсегу од 60 GHz</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302 571</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Интелигентни транспортни системи (ITS) – Радиокомуникациона опрема која ради у фреквенцијском опсегу од 5 855 MHz дo 5 925 MHz</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302 574</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Сателитске земаљске станице и системи (SES) – Хармонизовани стандард за мобилне земаљске станице (МЕS) које раде у фреквенцијским опсезима од 1 980 MHz до 2 010 МHz (Земља–свемир) и од 2 170 МHz до 2 200 МHz (свемир–Земља) (стандард из више делова)</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302 608</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Уређаји кратког домета (SRD) – Радио-опрема за „Eurobalise” железничке системе</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302 609</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Уређаји кратког домета (SRD) – Радио-опрема за „Euroloop” комуникационе системе</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302 617</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UHF радио предајници, пријемници и примопредајници на земљи за UHF ваздухопловну мобилну службу, који користе амплитудску модулацију</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302 636</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Интелигентни транспортни системи (ITS) – Комуникације у друмском саобраћају – Геоумрежавање (стандард из више делова)</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302 637</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Интелигентни транспортни системи (ITS) – Комуникације у друмском саобраћају – Основни скуп примена (стандард из више делова)</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302 645</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Електромагнетска компатибилност и радио-спектар (ERM) – Уређаји кратког домета – Репетитори глобалних навигационих сателитских система (GNSS)</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302 686</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Интелигентни транспортни системи (ITS) – Опрема за радио-комуникације која ради у фреквенцијском опсегу од 63 GHz до 64 GHz</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302 729</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Уређаји кратког домета (SRD) – Опрема радара за мерење нивоа (LPR) која ради у фреквенцијским опсезима од 6 GHz дo 8,5 GHz, oд 24,05 GHz дo 26,5 GHz, oд 57 GHz дo 64 GHz, oд 75 GHz дo 85 GHz</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302 752</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Електромагнетска компатибилност и радио-спектар (ERM) – Активни појачавачи радарског одраза</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lastRenderedPageBreak/>
              <w:t>SRPS EN 302 858</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Уређаји кратког домета – Телематика у транспорту и саобраћају (TTT) – Радарска опрема која ради у фреквенцијском опсегу од 24,05 GHz дo 24,25 GHz или од 24,05 GHz дo 24,50 GHz</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302 885</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Преносива VHF радиотелефонска опрема за поморску мобилну службу која ради у VHF опсезима, са могућношћу ручног дигиталног селективног позивања (DSC), класе H</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302 961</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Поморски радио-фарови за персонално навођење, намењени за коришћење на фреквенцији од 121,5 MHz, искључиво за потребе тражења и спасавања</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302 977</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Сателитске земаљске станице и системи (SES) – Хармонизовани стандард за земаљске станице монтиране на возилима (VMES), које раде у фреквенцијским опсезима 14/12 GHz</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303 039</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Копнена мобилна служба – Спецификација вишеканалног предајника за PMR службу</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303 084</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Систем на земљи за подешавање и корекцију (GBAS) радиодифузног емитовања података земља–ваздух у VHF опсегу (VDB) – Техничке карактеристике и методе мерења за опрему на земљи</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303 098</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Поморски персонални уређаји мале снаге за лоцирање који користе AIS</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303 132</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Поморски VHF фарови мале снаге за персонално лоцирање који користе дигитално селективно позивање (DSC)</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303 135</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Надзор обале, услуге за саобраћај пловила и лучки радари (CS/VTS/HR)</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303 203</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Уређаји кратког домета (SRD) – Медицински мрежни системи који се користе у пределу тела (MBANS) и раде у фреквенцијском опсегу од 2 483,5 MHz дo 2 500 MHz</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303 204</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Мрежни уређаји кратког домета (SRD) – Радио-опрема за коришћење у фреквенцијском опсегу од 870 MHz дo 876 MHz, са нивоима снаге до 500 mW</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303 213</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Напредни систем за навођење и контролу кретања по површини аеродрома (A-SMGCS) (стандард из више делова)</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303 258</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Бежична индустријска аутоматизација – Радио-опрема која се користи у фреквенцијском опсегу од 5,725 GHz до 5,875 GHz са нивоима снаге до 400 mW</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303 345</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Пријемници за радиодифузни пренос звука (стандард из више делова)</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303 347</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Метеоролошки радари (стандард из више делова)</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303 348</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Аудиофреквенцијски системи са индуктивном петљом јачине струје до 45 A у фреквенцијском опсегу од 10 Hz до 9 kHz</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303 360</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Уређаји кратког домета – Телематика у транспорту и саобраћају (ТТТ) – Радарска опрема која ради у фреквенцијском опсегу од 76 GHz до 77 GHz – Радари за детектовање препрека за хеликоптере</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303 363</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Секундарни надзорни радар (SSR)</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303 364</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Примарни надзорни радар (PSR) (стандард из више делова)</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303 402</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Поморски мобилни предајници и пријемници за коришћење у MF и HF фреквенцијским опсезима</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303 405</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Поморска мобилна служба – Аналогна и дигитална PMR446 опрема</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303 413</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Сателитске земаљске станице и системи (SES); Пријемници глобалног навигационог сателитског система (GNSS) – Радио-опрема која ради у фреквенцијским опсезима од 1 164 MHz до 1 300 MHz и од 1 559 MHz до 1 610 MHz</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303 454</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Уређаји кратког домета (SRD) – Сензори за детекцију метала и објеката у фреквенцијском опсегу од 1 Hz до 148,5 kHz</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303 520</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Уређаји кратког домета (SRD) – Бежични медицински уређаји веома мале снаге (ULP) за капсуларну ендоскопију који раде у у фреквенцијском опсегу од 430 MHz до 440 MHz</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303 609</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Глобални систем за мобилне комуникације (GSM) – GSM репетитори</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303 699</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Сателитске земаљске станице и системи (SES) – Фиксне земаљске станице које са сателитским системима који нису у геостационарној орбити комуницирају у FSS фреквенцијским опсезима од 20 GHz и 30 GHz – Хармонизовани стандард за приступ радио-спектру</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303 687</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6 GHz WAS/RLAN</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303 978</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Сателитске земаљске станице и системи (SES) – Хармонизовани стандард за земаљске станице на мобилним платформама (ESOMP) за пренос ка сателитима у геостационарној орбити у фреквенцијским опсезима од 27,5 GHz дo 30,0 GHz</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303 979</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 xml:space="preserve">Сателитске земаљске станице и системи (SES) – Хармонизовани стандард за земаљске станице на мобилним платформама (ESOMP) за пренос ка сателитима који нису у геостационарној орбити, у фреквенцијским опсезима од 27,5 GHz до 29,1 GHz и од 29,5 GHz дo </w:t>
            </w:r>
            <w:r w:rsidRPr="007E52B2">
              <w:rPr>
                <w:rFonts w:ascii="Arial" w:hAnsi="Arial" w:cs="Arial"/>
                <w:color w:val="000000"/>
                <w:sz w:val="20"/>
                <w:szCs w:val="20"/>
              </w:rPr>
              <w:lastRenderedPageBreak/>
              <w:t>30,0 GHz</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lastRenderedPageBreak/>
              <w:t>SRPS EN 303 980</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Сателитске земаљске станице и системи (SES) – Фиксне и покретне земаљске станице које комуницирају са негеостационарним сателитским системима (NEST) у фреквенцијским опсезима од 11 GHz до 14 GHz</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303 981</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Сателитске земаљске станице и системи (SES) – Фиксне и покретне широкопојасне земаљске станице које комуницирају са негеостационарним сателитским системима (WBES) у фреквенцијским опсезима од 11 GHz до 14 GHz</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305 550</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Електромагнетска компатибилност и радио-спектар (ЕRM) – Уређаји кратког домета (SRD) – Радио-опрема која се користи у фреквенцијском опсегу од 40 GHz до 246 GHz</w:t>
            </w:r>
          </w:p>
        </w:tc>
      </w:tr>
      <w:tr w:rsidR="00D23D60" w:rsidRPr="007E52B2" w:rsidTr="00F943AF">
        <w:tc>
          <w:tcPr>
            <w:tcW w:w="203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i/>
                <w:iCs/>
                <w:color w:val="000000"/>
                <w:sz w:val="20"/>
                <w:szCs w:val="20"/>
              </w:rPr>
              <w:t>SRPS EN 303 661</w:t>
            </w:r>
          </w:p>
        </w:tc>
        <w:tc>
          <w:tcPr>
            <w:tcW w:w="12820" w:type="dxa"/>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Уређаји кратког домета (SRD) – Земаљски радар са синтетичкoм апертуром (GBSAR) у фреквенцијском опсегу од 17.1 do 17.3 GHz и Земаљски радар са синтетичкoм апертуром високе резолуције (HD-GBSAR) у фреквенцијском опсегу од 76 do 77 GHz</w:t>
            </w:r>
          </w:p>
        </w:tc>
      </w:tr>
    </w:tbl>
    <w:p w:rsidR="007E52B2" w:rsidRDefault="007E52B2" w:rsidP="00D23D60">
      <w:pPr>
        <w:widowControl/>
        <w:autoSpaceDE/>
        <w:autoSpaceDN/>
        <w:ind w:firstLine="480"/>
        <w:rPr>
          <w:rFonts w:ascii="Arial" w:hAnsi="Arial" w:cs="Arial"/>
          <w:b/>
          <w:bCs/>
          <w:color w:val="000000"/>
          <w:sz w:val="20"/>
          <w:szCs w:val="20"/>
          <w:lang w:val="sr-Cyrl-RS"/>
        </w:rPr>
      </w:pPr>
    </w:p>
    <w:p w:rsidR="00F943AF" w:rsidRDefault="00F943AF" w:rsidP="00D23D60">
      <w:pPr>
        <w:widowControl/>
        <w:autoSpaceDE/>
        <w:autoSpaceDN/>
        <w:ind w:firstLine="480"/>
        <w:rPr>
          <w:rFonts w:ascii="Arial" w:hAnsi="Arial" w:cs="Arial"/>
          <w:b/>
          <w:bCs/>
          <w:color w:val="000000"/>
          <w:sz w:val="20"/>
          <w:szCs w:val="20"/>
          <w:lang w:val="sr-Cyrl-RS"/>
        </w:rPr>
      </w:pPr>
    </w:p>
    <w:p w:rsidR="00D23D60" w:rsidRPr="007E52B2" w:rsidRDefault="00D23D60" w:rsidP="00D23D60">
      <w:pPr>
        <w:widowControl/>
        <w:autoSpaceDE/>
        <w:autoSpaceDN/>
        <w:ind w:firstLine="480"/>
        <w:rPr>
          <w:rFonts w:ascii="Arial" w:hAnsi="Arial" w:cs="Arial"/>
          <w:color w:val="000000"/>
          <w:sz w:val="20"/>
          <w:szCs w:val="20"/>
        </w:rPr>
      </w:pPr>
      <w:r w:rsidRPr="007E52B2">
        <w:rPr>
          <w:rFonts w:ascii="Arial" w:hAnsi="Arial" w:cs="Arial"/>
          <w:b/>
          <w:bCs/>
          <w:color w:val="000000"/>
          <w:sz w:val="20"/>
          <w:szCs w:val="20"/>
        </w:rPr>
        <w:t>ПРИЛОГ 5</w:t>
      </w:r>
    </w:p>
    <w:p w:rsidR="00D23D60" w:rsidRDefault="00D23D60" w:rsidP="00D23D60">
      <w:pPr>
        <w:widowControl/>
        <w:autoSpaceDE/>
        <w:autoSpaceDN/>
        <w:ind w:firstLine="480"/>
        <w:jc w:val="center"/>
        <w:rPr>
          <w:rFonts w:ascii="Arial" w:hAnsi="Arial" w:cs="Arial"/>
          <w:b/>
          <w:bCs/>
          <w:color w:val="000000"/>
          <w:sz w:val="20"/>
          <w:szCs w:val="20"/>
          <w:lang w:val="sr-Cyrl-RS"/>
        </w:rPr>
      </w:pPr>
      <w:r w:rsidRPr="007E52B2">
        <w:rPr>
          <w:rFonts w:ascii="Arial" w:hAnsi="Arial" w:cs="Arial"/>
          <w:b/>
          <w:bCs/>
          <w:color w:val="000000"/>
          <w:sz w:val="20"/>
          <w:szCs w:val="20"/>
        </w:rPr>
        <w:t>СПИСАК</w:t>
      </w:r>
      <w:r w:rsidRPr="007E52B2">
        <w:rPr>
          <w:rFonts w:ascii="Arial" w:hAnsi="Arial" w:cs="Arial"/>
          <w:b/>
          <w:bCs/>
          <w:color w:val="000000"/>
          <w:sz w:val="20"/>
          <w:szCs w:val="20"/>
        </w:rPr>
        <w:br/>
        <w:t>СКРАЋЕНИЦА КОРИШЋЕНИХ У ПЛАНУ НАМЕНЕ ФРЕКВЕНЦИЈСКИХ ОПСЕГА</w:t>
      </w:r>
    </w:p>
    <w:p w:rsidR="00F943AF" w:rsidRPr="00F943AF" w:rsidRDefault="00F943AF" w:rsidP="00D23D60">
      <w:pPr>
        <w:widowControl/>
        <w:autoSpaceDE/>
        <w:autoSpaceDN/>
        <w:ind w:firstLine="480"/>
        <w:jc w:val="center"/>
        <w:rPr>
          <w:rFonts w:ascii="Arial" w:hAnsi="Arial" w:cs="Arial"/>
          <w:b/>
          <w:bCs/>
          <w:color w:val="000000"/>
          <w:sz w:val="20"/>
          <w:szCs w:val="20"/>
          <w:lang w:val="sr-Cyrl-R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639"/>
        <w:gridCol w:w="6308"/>
        <w:gridCol w:w="6903"/>
      </w:tblGrid>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b/>
                <w:bCs/>
                <w:color w:val="000000"/>
                <w:sz w:val="20"/>
                <w:szCs w:val="20"/>
              </w:rPr>
              <w:t>Скраћеница</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b/>
                <w:bCs/>
                <w:color w:val="000000"/>
                <w:sz w:val="20"/>
                <w:szCs w:val="20"/>
              </w:rPr>
              <w:t>Изворни назив</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b/>
                <w:bCs/>
                <w:color w:val="000000"/>
                <w:sz w:val="20"/>
                <w:szCs w:val="20"/>
              </w:rPr>
              <w:t>Превод</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ADS-B</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Automatic Dependent Survelliance-Broadcast</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Аутоматски зависни надзор-емитовање</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AES</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Aircraft Earth Stations</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Земаљска станица на ваздухоплову</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AGA</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Air Ground Air</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Ваздух-земља-ваздух</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AIS</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Automatic Identification System</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Аутоматски систем за препознавање</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ALD</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Assistive Listening Devices</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Помоћни слушни уређаји</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ALS</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Assistive Listening Systems</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Помоћни слушни системи</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AMS(OR)S</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Aeronautical Mobile Satellite (OR) Services</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Ваздухопловна мобилна сателитска (OR)* служба</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AMS(R)S</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Aeronautical Mobile Satellite (R) Services</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Ваздухопловна мобилна сателитска (R)* служба</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APP</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Appendix of the ITU Radio Regulations</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Додатак међународног Правилника о радио-комуникацијама ITU-a</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BBDR</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Broad Band Disaster Relief</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Опрема са широкопојасним приступом за помоћ у случају несрећа</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BB-PPDR</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Broadband Public Protection and Disaster Relief</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Опрема са широкопојасним приступом за цивилну заштиту и помоћ у случају несрећа</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BFWA</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Broadband Fixed Wireless Access</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Широкопојасни фиксни бежични приступ</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BSS</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Broadcasting Satellite Service</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Радиодифузна сателитска служба:</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BWA</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Broadband Wireless Access</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Широкопојасни бежични приступ</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CB</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(Citizen Band)</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Радиофреквенцијски опсег намењен грађанима</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CGC</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Complementary Ground Component</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Комплементарна земаљска компонента</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CEPT</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European Conference of Postal and Telecommunications Administrations</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Европскa конференција поштанских и телекомуникационих администрација</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CRS</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Central Radio Station</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Централна радио-станица</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D</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Duplex</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Дуплекс</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DEC</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Decision</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Одлука</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DECT</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Digital Enhanced Cordless Telecommunication</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Дигиталне побољшане бежичне телекомуникације</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DGPS</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Differential Global Positioning System</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Диференцијални глобални систем за позиционирање</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DME</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Distance Measuring Equipment</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Опрема за мерење удаљености</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DMO</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Direct Mode Operation</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Рад у директном режиму</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lastRenderedPageBreak/>
              <w:t>DSC</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Digital Selective Calling</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Дигитално селективно позивање</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DVB-T</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Terrestrial Digital Video Broadcasting</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Терестричко емитовање дигиталног телевизијског сигнала у радиодифузној служби</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DVB-T2</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Terrestrial Digital Video Broadcasting (second generation)</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Терестричко емитовање дигиталног телевизијског сигнала у радиодифузној служби (друга генерација)</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ECA</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European Common Allocation</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Заједничка европска намена</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ECC</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Electronic Communications Committee</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CEPT-ov Одбор за електронске комуникације</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EESS</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Earth Exploration-Satellite Service</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Сателитска служба истраживања Земље</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E-GSM</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Extended GSM</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Проширени радиофреквенцијски опсег за GSM</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EPIRB</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Emergency Position-Indicating Radiobeacon</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Поморски радио-фарови за индикацију положаја у хитним случајевима</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ERC</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European Radiocommunications Committee</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CEPT-ov Eвропски обор за радио-комуникације (претходник ECC-a)</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ESIM</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Earth Stations In Motion</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Земаљска станица у покрету</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ESOMPs</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Earth Stations On Mobile Platforms</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Земаљске станице на мобилним платформама</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ESV</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Earth Stations on board Vessels</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Земаљске станице на пловилима</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EU</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EUropean footnote</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Европска нота</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FDD</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Frequency Division Duplex</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Дуплекс сa фреквенцијском расподелом</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FM</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Frequency Modulation</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Фреквенцијска модулација</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FRMCS</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Future Railway Mobile Communication System</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Будићи железнички мобилни комуникациони системи</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FS</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Fixed Service</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Фиксна служба</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FSS</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Fixed-Satellite Service</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Фиксна сателитска служба</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FWA</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Fixed Wireless Access</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Фиксни бежични приступ</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GALILEO</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European Global Navigation Satellite System</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Европски глобални навигациони сателитски систем</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GBAS</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Ground Based Augmentation System</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Систем на земљи за подешавање и корекцију</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GBSAR</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Ground Based Synthetic Aperture Radar</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Земаљски радар са синтетичкoм апертуром</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GE75</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Geneva 1975 Agreement</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Споразум Женева1975.</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GE85</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Geneva 1985 Agreement</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Споразум Женева 1985.</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GLIDE PATH</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GLIDE PATH</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Систем инструменталног слетања</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GLONASS</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Global Navigation Satellite System</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Глобални навигациони сателитски систем</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GMDSS</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Global Maritime Distress and Safety System</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Глобални поморски систем за опасност и безбедност</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GNSS</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Global Navigation Satellite System</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Глобални навигациони сателитски систем</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GPS</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Global Positioning System</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Глобални систем за позиционирање</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GSM</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Global System for Mobile Communications</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Глобални систем за мобилне комуникације</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GSM 1800</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Global System for Mobile Communications using 1800 MHz band</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Глобални систем за мобилне комуникације који користи радиофреквенцијски опсег 1800 MHz</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GSM-R</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GSM for Railways</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GSM за железнице</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GSO</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GeoStationary Orbit</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Геостационарна орбита</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HAPS</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High Altitude Platform Systems</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Системи на платформама на великим висинама</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HDTV</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High Definition Television</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Телевизија високе резолуције</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HEST</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High E.i.r.p. Satellite Terminals</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Сателитски терминал са високом вредношћу e.i.r.p.</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HF</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High Frequency</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Висока фреквенција</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IALA</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International Association of Lighthouse Authorities</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Међународно удружење светионичарских администрација</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lastRenderedPageBreak/>
              <w:t>IBCN</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Integrated Broadband Communications Network</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Интегрисана широкопојасна комуникациона мрежа</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ILS</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Instrument Landing System</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Системе инструменталног слетања</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IMT</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International Mobile Telecommunications</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Међународне мобилне телекомуникације</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ISM</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Industrial, Scientific and Medical</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Индустријска, научна и медицинска (примена)</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IoT</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Internet of Things</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Интернет ствари</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ITS</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Intelligent Transport Systems</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Интелигентни транспортни системи</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ITU</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International Telecommunication Union</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Међународнa телекомуникационa унијa</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JTIDS</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Joint Tactical Information Distribution System</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Заједнички систем за дистрибуцију тактичких информација</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LAES</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Location Application for Emergency Services</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Пријава локације за хитне службе</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LAN</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Local area network</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Mрежa са локалним покривањем</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LEST</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Low E.i.r.p. Satellite Terminals</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Сателитски терминал са ниском вредношћу e.i.r.p.</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LORAN-C</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 Hiperbolic radio-navigation system</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Хиперболички радио-навигациони систем</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LPR</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Level Probing Radar</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Радар за мерење нивоа</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LT2</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Location Tracking Type 2</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Праћене локације тип 2</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MBANS</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Medical Body Area Network Systems</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Медицински мрежни системи који се користе у пределу тела</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MCA</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Mobile Communications Services on Board Aircraft</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Услуге мобилне комуникације у ваздухоплову</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MFCN</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Mobile/Fixed Communications Networks</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Мобилне/Фиксне комуникационе мреже</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MIDS</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Multifunctional Information Distribution System</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Мултифункционални систем за дистрибуцију информација</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ML</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Land mobile station</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Копнена мобила станица</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MLAT</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Multilateration</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Систем мултилатерације</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MLS</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Microwave Landing System</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Микроталасни систем за слетање</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MSI</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Maritime Safety Information</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Поморске безбедносне информације</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MSS</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Mobile-Satellite Service</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Мобилна сателитска служба</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NAVTEX</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Narrow-band direct-printing telegraphy system for transmission of navigational and meteorological warnings and urgent information to ships</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Ускопојасни телеграфски систем са директним исписом за пренос навигационих и метеоролошких упозорења и хитних информација бродовима</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NGSO</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Non-GeoStationary Orbit</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Негеостационарна орбита</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*(OR)</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Off-Route</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Ван правца (руте)</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PAMR</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Public Access Mobile Radio</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Мобилни радио са јавним приступом</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PMR</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Professional Mobile Radio, Private Mobile Radio</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Професионални мобилни радио, Приватни мобилни радио</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PMSE</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Programme making and special events</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Производња програма и посебни догађаји</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PPDR</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Public Protection and Disaster Relief</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Систем цивилне заштите и уклањања последица катастрофа</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PSR</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Primary Surveillance Radar</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Примарни надзорни радар</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*(R)</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Route</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На правцу (рути)</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REC</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Recommendation</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Препорука</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RFID</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Radio Frequency Identification</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Радиофреквенцијска идентификација</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RLANS</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Radio Local Area Network System</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Систем радио-мреже са локалним покривањем</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RR</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ITU Radio Regulations</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Међународни Правилник о радио-комуникацијама ITU-a</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S</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Simplex</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Симплекс</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SAB</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Services Ancillary to Broadcasting</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Помоћна радиокомуникацијска служба за радио-дифузију</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SAP</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Services Ancillary to Programming</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Помоћна радиокомуникацијска служба за производњу програма</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lastRenderedPageBreak/>
              <w:t>SAR (communications)</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Search and Rescue</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Kомуникације у сврху трагања и спасавањa</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SD</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Semi-duplex</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Семидуплекс</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SEDDIF</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South East Digital Dividend Forum</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Форум о примени дигиталне дивиденде у јужној Европи</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S-DAB</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Satellite Digital Audio Broadcasting</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Сателитско дигитално аудио емитовање</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SIT</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Satellite Interactive Terminal</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Сателитски интерактивни терминали</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SNG</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Satellite News Gathering</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Сателитско прикупљање вести</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S-PCS</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Satellite Personal Communication System</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Систем сателитских персоналних комуникација</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SRD</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Short Range Device</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Уређај кратког домета</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SRR</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Short Range Radar</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Радар кратког домета</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SSR</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Secondary Surveillance Radar</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Секундарни надзорни радар</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SUT</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Satellite User Terminal</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Сателитски кориснички терминал</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TACAN</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Tactical Air Navigation</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Тактичка ваздушна навигација</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T-DAB</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Terrestrial Digital Audio Broadcasting</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Терестричко емитовање дигиталног аудио-сигнала у радиодифузној служби</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T-DAB+</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Enhanced Terrestrial Digital Audio Broadcasting</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Побољшано терестричко емитовање дигиталног аудио-сигнала у радиодифузној служби</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TDD</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Time Division Duplex</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Дуплекс са временском расподелом</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TLPR</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Tank Level Probing Radar</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Радари за мерење нивоа у резервоару</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TS</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Terminal Station</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Терминална станица</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TTT</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Transport and Traffic Telematics</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Телематика у транспорту и саобраћају</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TV</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Television</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Телевизија</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UIC</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International Union for Railways</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Међународна унија за железнице</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ULP-AID</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Ultra Low Power – Animal Implant Device</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Импланти за животиње веома мале снаге</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ULP-AMI</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Ultra Low Power – Active Medical Implants</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Активни медицински импланти веома мале снаге</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ULP-WMCE</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Ultra-Low Power Wireless Medical Capsule Endoscopy</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Бежична медицинска капсуларна ендоскопија веома мале снаге</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UWB</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Ultra Wideband</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Ултра-широкопојаснa</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VDB</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VHF ground-air Data Broadcast</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VHF емитовање података земља-ваздух</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VDL</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VHF Air-ground Digital Link</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Земља-ваздух VHF комуникација подацима</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VHF</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Very high frequency</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Врло висока фреквенција</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VLBI</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Very Long Baseline Interferometry (Radio Astronomy)</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Интерферометријски поступак у радио-астрономији</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VOR</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VHF Omni-directional Range</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VHF зрачењe у свим смеровима</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VSAT</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Very Small Aperture Terminal</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Tерминалнa опремa веома мале апертуре</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VTS</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Vessel Traffic System (radar)</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Систем за саобраћај пловила (радар)</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WAIC</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Wireless Avionics Intra-Communication systems</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Бежични комуникациони систем у ваздухоплову</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WAS</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Wireless Access System</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Систем бежичног приступа</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WIA</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Wireless Industrial Applications</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Бежичне индустријске примене</w:t>
            </w:r>
          </w:p>
        </w:tc>
      </w:tr>
      <w:tr w:rsidR="00D23D60" w:rsidRPr="007E52B2" w:rsidTr="00F943AF">
        <w:tc>
          <w:tcPr>
            <w:tcW w:w="45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WRC</w:t>
            </w:r>
          </w:p>
        </w:tc>
        <w:tc>
          <w:tcPr>
            <w:tcW w:w="21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World Radiocommunication Conference</w:t>
            </w:r>
          </w:p>
        </w:tc>
        <w:tc>
          <w:tcPr>
            <w:tcW w:w="237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D23D60" w:rsidRPr="007E52B2" w:rsidRDefault="00D23D60" w:rsidP="00D23D60">
            <w:pPr>
              <w:widowControl/>
              <w:autoSpaceDE/>
              <w:autoSpaceDN/>
              <w:rPr>
                <w:rFonts w:ascii="Arial" w:hAnsi="Arial" w:cs="Arial"/>
                <w:color w:val="000000"/>
                <w:sz w:val="20"/>
                <w:szCs w:val="20"/>
              </w:rPr>
            </w:pPr>
            <w:r w:rsidRPr="007E52B2">
              <w:rPr>
                <w:rFonts w:ascii="Arial" w:hAnsi="Arial" w:cs="Arial"/>
                <w:color w:val="000000"/>
                <w:sz w:val="20"/>
                <w:szCs w:val="20"/>
              </w:rPr>
              <w:t>Светска конференција о радио-комуникацијама</w:t>
            </w:r>
          </w:p>
        </w:tc>
      </w:tr>
    </w:tbl>
    <w:p w:rsidR="007E52B2" w:rsidRDefault="007E52B2" w:rsidP="00D23D60">
      <w:pPr>
        <w:pStyle w:val="basic-paragraph"/>
        <w:spacing w:before="0" w:beforeAutospacing="0" w:after="0" w:afterAutospacing="0"/>
        <w:ind w:firstLine="480"/>
        <w:rPr>
          <w:rStyle w:val="bold"/>
          <w:rFonts w:ascii="Arial" w:hAnsi="Arial" w:cs="Arial"/>
          <w:b/>
          <w:bCs/>
          <w:color w:val="000000"/>
          <w:sz w:val="20"/>
          <w:szCs w:val="20"/>
          <w:lang w:val="sr-Cyrl-RS"/>
        </w:rPr>
      </w:pPr>
    </w:p>
    <w:p w:rsidR="007E52B2" w:rsidRDefault="007E52B2" w:rsidP="00D23D60">
      <w:pPr>
        <w:pStyle w:val="basic-paragraph"/>
        <w:spacing w:before="0" w:beforeAutospacing="0" w:after="0" w:afterAutospacing="0"/>
        <w:ind w:firstLine="480"/>
        <w:rPr>
          <w:rStyle w:val="bold"/>
          <w:rFonts w:ascii="Arial" w:hAnsi="Arial" w:cs="Arial"/>
          <w:b/>
          <w:bCs/>
          <w:color w:val="000000"/>
          <w:sz w:val="20"/>
          <w:szCs w:val="20"/>
          <w:lang w:val="sr-Cyrl-RS"/>
        </w:rPr>
      </w:pPr>
    </w:p>
    <w:p w:rsidR="00F943AF" w:rsidRDefault="00F943AF" w:rsidP="00D23D60">
      <w:pPr>
        <w:pStyle w:val="basic-paragraph"/>
        <w:spacing w:before="0" w:beforeAutospacing="0" w:after="0" w:afterAutospacing="0"/>
        <w:ind w:firstLine="480"/>
        <w:rPr>
          <w:rStyle w:val="bold"/>
          <w:rFonts w:ascii="Arial" w:hAnsi="Arial" w:cs="Arial"/>
          <w:b/>
          <w:bCs/>
          <w:color w:val="000000"/>
          <w:sz w:val="20"/>
          <w:szCs w:val="20"/>
          <w:lang w:val="sr-Cyrl-RS"/>
        </w:rPr>
      </w:pPr>
    </w:p>
    <w:p w:rsidR="00F943AF" w:rsidRPr="00F943AF" w:rsidRDefault="00D23D60" w:rsidP="00F943AF">
      <w:pPr>
        <w:pStyle w:val="basic-paragraph"/>
        <w:spacing w:before="0" w:beforeAutospacing="0" w:after="0" w:afterAutospacing="0"/>
        <w:ind w:firstLine="480"/>
        <w:rPr>
          <w:rFonts w:ascii="Arial" w:hAnsi="Arial" w:cs="Arial"/>
          <w:b/>
          <w:bCs/>
          <w:color w:val="000000"/>
          <w:sz w:val="20"/>
          <w:szCs w:val="20"/>
          <w:lang w:val="sr-Cyrl-RS"/>
        </w:rPr>
      </w:pPr>
      <w:r w:rsidRPr="007E52B2">
        <w:rPr>
          <w:rStyle w:val="bold"/>
          <w:rFonts w:ascii="Arial" w:hAnsi="Arial" w:cs="Arial"/>
          <w:b/>
          <w:bCs/>
          <w:color w:val="000000"/>
          <w:sz w:val="20"/>
          <w:szCs w:val="20"/>
        </w:rPr>
        <w:lastRenderedPageBreak/>
        <w:t>ПРИЛОГ 6</w:t>
      </w:r>
    </w:p>
    <w:p w:rsidR="00F943AF" w:rsidRDefault="00D23D60" w:rsidP="00F943AF">
      <w:pPr>
        <w:pStyle w:val="bold1"/>
        <w:spacing w:before="0" w:beforeAutospacing="0" w:after="0" w:afterAutospacing="0"/>
        <w:ind w:firstLine="480"/>
        <w:jc w:val="center"/>
        <w:rPr>
          <w:rStyle w:val="bold"/>
          <w:rFonts w:ascii="Arial" w:hAnsi="Arial" w:cs="Arial"/>
          <w:b/>
          <w:bCs/>
          <w:color w:val="000000"/>
          <w:sz w:val="20"/>
          <w:szCs w:val="20"/>
          <w:lang w:val="sr-Cyrl-RS"/>
        </w:rPr>
      </w:pPr>
      <w:r w:rsidRPr="007E52B2">
        <w:rPr>
          <w:rStyle w:val="bold"/>
          <w:rFonts w:ascii="Arial" w:hAnsi="Arial" w:cs="Arial"/>
          <w:b/>
          <w:bCs/>
          <w:color w:val="000000"/>
          <w:sz w:val="20"/>
          <w:szCs w:val="20"/>
        </w:rPr>
        <w:t>СПИСАК</w:t>
      </w:r>
      <w:r w:rsidRPr="007E52B2">
        <w:rPr>
          <w:rFonts w:ascii="Arial" w:hAnsi="Arial" w:cs="Arial"/>
          <w:b/>
          <w:bCs/>
          <w:color w:val="000000"/>
          <w:sz w:val="20"/>
          <w:szCs w:val="20"/>
        </w:rPr>
        <w:br/>
      </w:r>
      <w:r w:rsidRPr="007E52B2">
        <w:rPr>
          <w:rStyle w:val="bold"/>
          <w:rFonts w:ascii="Arial" w:hAnsi="Arial" w:cs="Arial"/>
          <w:b/>
          <w:bCs/>
          <w:color w:val="000000"/>
          <w:sz w:val="20"/>
          <w:szCs w:val="20"/>
        </w:rPr>
        <w:t>КОРИШЋЕНИХ МЕЂУНАРОДНИХ AKATA ИЗ ОБЛАСТИ РАДИО-КОМУНИКАЦИЈА</w:t>
      </w:r>
    </w:p>
    <w:p w:rsidR="009E17AD" w:rsidRPr="009E17AD" w:rsidRDefault="009E17AD" w:rsidP="00F943AF">
      <w:pPr>
        <w:pStyle w:val="bold1"/>
        <w:spacing w:before="0" w:beforeAutospacing="0" w:after="0" w:afterAutospacing="0"/>
        <w:ind w:firstLine="480"/>
        <w:jc w:val="center"/>
        <w:rPr>
          <w:rStyle w:val="bold"/>
          <w:rFonts w:ascii="Arial" w:hAnsi="Arial" w:cs="Arial"/>
          <w:b/>
          <w:bCs/>
          <w:color w:val="000000"/>
          <w:sz w:val="20"/>
          <w:szCs w:val="20"/>
          <w:lang w:val="sr-Cyrl-RS"/>
        </w:rPr>
      </w:pP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Fonts w:ascii="Arial" w:hAnsi="Arial" w:cs="Arial"/>
          <w:color w:val="000000"/>
          <w:sz w:val="20"/>
          <w:szCs w:val="20"/>
        </w:rPr>
        <w:t>1. Конвенција о телекомуникацијама Међународне уније за телекомуникације,</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Fonts w:ascii="Arial" w:hAnsi="Arial" w:cs="Arial"/>
          <w:color w:val="000000"/>
          <w:sz w:val="20"/>
          <w:szCs w:val="20"/>
        </w:rPr>
        <w:t>2. Међународни Правилник о радио-комуникацијама, Женева, 1999.</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Fonts w:ascii="Arial" w:hAnsi="Arial" w:cs="Arial"/>
          <w:color w:val="000000"/>
          <w:sz w:val="20"/>
          <w:szCs w:val="20"/>
        </w:rPr>
        <w:t>3. Међународни Правилник о радио-комуникацијама, Женева, 2001.</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Fonts w:ascii="Arial" w:hAnsi="Arial" w:cs="Arial"/>
          <w:color w:val="000000"/>
          <w:sz w:val="20"/>
          <w:szCs w:val="20"/>
        </w:rPr>
        <w:t>4. Међународни Правилник о радио-комуникацијама, Женева, 2004.</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Fonts w:ascii="Arial" w:hAnsi="Arial" w:cs="Arial"/>
          <w:color w:val="000000"/>
          <w:sz w:val="20"/>
          <w:szCs w:val="20"/>
        </w:rPr>
        <w:t>5. Међународни Правилник о радио-комуникацијама, Женева, 2008.</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Fonts w:ascii="Arial" w:hAnsi="Arial" w:cs="Arial"/>
          <w:color w:val="000000"/>
          <w:sz w:val="20"/>
          <w:szCs w:val="20"/>
        </w:rPr>
        <w:t>6. Међународни Правилник о радио-комуникацијама, Женева, 2012.</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Fonts w:ascii="Arial" w:hAnsi="Arial" w:cs="Arial"/>
          <w:color w:val="000000"/>
          <w:sz w:val="20"/>
          <w:szCs w:val="20"/>
        </w:rPr>
        <w:t>7. Међународни Правилник о радио-комуникацијама, Женева, 2016.</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Fonts w:ascii="Arial" w:hAnsi="Arial" w:cs="Arial"/>
          <w:color w:val="000000"/>
          <w:sz w:val="20"/>
          <w:szCs w:val="20"/>
        </w:rPr>
        <w:t>8. Међународни Правилник о радио-комуникацијама, Женева, 2020.</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Fonts w:ascii="Arial" w:hAnsi="Arial" w:cs="Arial"/>
          <w:color w:val="000000"/>
          <w:sz w:val="20"/>
          <w:szCs w:val="20"/>
        </w:rPr>
        <w:t>9. Финална акта WARC, Женева, 1997.</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Fonts w:ascii="Arial" w:hAnsi="Arial" w:cs="Arial"/>
          <w:color w:val="000000"/>
          <w:sz w:val="20"/>
          <w:szCs w:val="20"/>
        </w:rPr>
        <w:t>10. Финална акта WRC, Истанбул, 2000.</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Fonts w:ascii="Arial" w:hAnsi="Arial" w:cs="Arial"/>
          <w:color w:val="000000"/>
          <w:sz w:val="20"/>
          <w:szCs w:val="20"/>
        </w:rPr>
        <w:t>11. Финална акта WRC, Женева 2003.</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Fonts w:ascii="Arial" w:hAnsi="Arial" w:cs="Arial"/>
          <w:color w:val="000000"/>
          <w:sz w:val="20"/>
          <w:szCs w:val="20"/>
        </w:rPr>
        <w:t>12. Финална акта WRC, Женева 2007.</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Fonts w:ascii="Arial" w:hAnsi="Arial" w:cs="Arial"/>
          <w:color w:val="000000"/>
          <w:sz w:val="20"/>
          <w:szCs w:val="20"/>
        </w:rPr>
        <w:t>13. Финална акта WRC, Женева 2010.</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Fonts w:ascii="Arial" w:hAnsi="Arial" w:cs="Arial"/>
          <w:color w:val="000000"/>
          <w:sz w:val="20"/>
          <w:szCs w:val="20"/>
        </w:rPr>
        <w:t>14. Финална акта WRC, Женева 2012.</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Fonts w:ascii="Arial" w:hAnsi="Arial" w:cs="Arial"/>
          <w:color w:val="000000"/>
          <w:sz w:val="20"/>
          <w:szCs w:val="20"/>
        </w:rPr>
        <w:t>15. Финална акта WRC, Женева 2015.</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Fonts w:ascii="Arial" w:hAnsi="Arial" w:cs="Arial"/>
          <w:color w:val="000000"/>
          <w:sz w:val="20"/>
          <w:szCs w:val="20"/>
        </w:rPr>
        <w:t>16. Финална акта WRC, Женева 2019.</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Fonts w:ascii="Arial" w:hAnsi="Arial" w:cs="Arial"/>
          <w:color w:val="000000"/>
          <w:sz w:val="20"/>
          <w:szCs w:val="20"/>
        </w:rPr>
        <w:t>17. Финална акта Европске VHF/UHF конференције за радио-дифузију, Стокхолм, 1961, ревидована у Женеви 2006. (</w:t>
      </w:r>
      <w:r w:rsidRPr="007E52B2">
        <w:rPr>
          <w:rFonts w:ascii="Arial" w:hAnsi="Arial" w:cs="Arial"/>
          <w:color w:val="000000"/>
          <w:sz w:val="20"/>
          <w:szCs w:val="20"/>
          <w:lang w:val="en-GB"/>
        </w:rPr>
        <w:t>Stockholm 1961 Agreement </w:t>
      </w:r>
      <w:r w:rsidRPr="007E52B2">
        <w:rPr>
          <w:rFonts w:ascii="Arial" w:hAnsi="Arial" w:cs="Arial"/>
          <w:color w:val="000000"/>
          <w:sz w:val="20"/>
          <w:szCs w:val="20"/>
        </w:rPr>
        <w:t>(RRC-06-Rev.ST61))</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Fonts w:ascii="Arial" w:hAnsi="Arial" w:cs="Arial"/>
          <w:color w:val="000000"/>
          <w:sz w:val="20"/>
          <w:szCs w:val="20"/>
        </w:rPr>
        <w:t>18. Финална акта Регионалне административне конференције о радио-дифузији на километарским и хектометарским таласима (Региони 1 и 3), Женева, 1975. (GE75 Agreement)</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Fonts w:ascii="Arial" w:hAnsi="Arial" w:cs="Arial"/>
          <w:color w:val="000000"/>
          <w:sz w:val="20"/>
          <w:szCs w:val="20"/>
        </w:rPr>
        <w:t>19. Финална акта Светске административне конференције о радио-комуникацијама у ваздухопловној мобилној служби (R), Женева, 1978.</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Fonts w:ascii="Arial" w:hAnsi="Arial" w:cs="Arial"/>
          <w:color w:val="000000"/>
          <w:sz w:val="20"/>
          <w:szCs w:val="20"/>
        </w:rPr>
        <w:t>20. Финална акта Регионалне административне конференције за планирање VHF FM звучнe радио-дифузијe (Регион 1 и део Региона 2), Женева, 1984. (GE84 Agreement)</w:t>
      </w:r>
    </w:p>
    <w:p w:rsidR="00D23D60" w:rsidRPr="007E52B2" w:rsidRDefault="00D23D60" w:rsidP="00F943AF">
      <w:pPr>
        <w:pStyle w:val="basic-paragraph"/>
        <w:spacing w:before="0" w:beforeAutospacing="0" w:after="0" w:afterAutospacing="0" w:line="192" w:lineRule="auto"/>
        <w:ind w:firstLine="482"/>
        <w:rPr>
          <w:rFonts w:ascii="Arial" w:hAnsi="Arial" w:cs="Arial"/>
          <w:color w:val="000000"/>
          <w:sz w:val="20"/>
          <w:szCs w:val="20"/>
        </w:rPr>
      </w:pPr>
      <w:r w:rsidRPr="007E52B2">
        <w:rPr>
          <w:rFonts w:ascii="Arial" w:hAnsi="Arial" w:cs="Arial"/>
          <w:color w:val="000000"/>
          <w:sz w:val="20"/>
          <w:szCs w:val="20"/>
        </w:rPr>
        <w:t>21. Финална акта Регионалне административне конференције за планирање поморске радио-навигационе службе (радио-фарови) у Европској поморској зони, Женева, 1985. (GE85 Agreement)</w:t>
      </w:r>
    </w:p>
    <w:p w:rsidR="00D23D60" w:rsidRPr="007E52B2" w:rsidRDefault="00D23D60" w:rsidP="00F943AF">
      <w:pPr>
        <w:pStyle w:val="basic-paragraph"/>
        <w:spacing w:before="0" w:beforeAutospacing="0" w:after="0" w:afterAutospacing="0" w:line="192" w:lineRule="auto"/>
        <w:ind w:firstLine="482"/>
        <w:rPr>
          <w:rFonts w:ascii="Arial" w:hAnsi="Arial" w:cs="Arial"/>
          <w:color w:val="000000"/>
          <w:sz w:val="20"/>
          <w:szCs w:val="20"/>
        </w:rPr>
      </w:pPr>
      <w:r w:rsidRPr="007E52B2">
        <w:rPr>
          <w:rFonts w:ascii="Arial" w:hAnsi="Arial" w:cs="Arial"/>
          <w:color w:val="000000"/>
          <w:sz w:val="20"/>
          <w:szCs w:val="20"/>
        </w:rPr>
        <w:t>22. Финална акта Регионалне административне конференције за планирање MF поморске мобилне и ваздухопловне мобилне радио-навигационе службе (Регион 1), Женева, 1985. (GE85 Agreement)</w:t>
      </w:r>
    </w:p>
    <w:p w:rsidR="00D23D60" w:rsidRPr="007E52B2" w:rsidRDefault="00D23D60" w:rsidP="00F943AF">
      <w:pPr>
        <w:pStyle w:val="basic-paragraph"/>
        <w:spacing w:before="0" w:beforeAutospacing="0" w:after="0" w:afterAutospacing="0" w:line="192" w:lineRule="auto"/>
        <w:ind w:firstLine="482"/>
        <w:rPr>
          <w:rFonts w:ascii="Arial" w:hAnsi="Arial" w:cs="Arial"/>
          <w:color w:val="000000"/>
          <w:sz w:val="20"/>
          <w:szCs w:val="20"/>
        </w:rPr>
      </w:pPr>
      <w:r w:rsidRPr="007E52B2">
        <w:rPr>
          <w:rFonts w:ascii="Arial" w:hAnsi="Arial" w:cs="Arial"/>
          <w:color w:val="000000"/>
          <w:sz w:val="20"/>
          <w:szCs w:val="20"/>
        </w:rPr>
        <w:t>23. Финална акта Светске административне радио-конференције за коришћење геостационарне сателитске орбите и планирање свемирских служби које је користе (ORB-88), Женева, 1988.</w:t>
      </w:r>
    </w:p>
    <w:p w:rsidR="00D23D60" w:rsidRPr="007E52B2" w:rsidRDefault="00D23D60" w:rsidP="00F943AF">
      <w:pPr>
        <w:pStyle w:val="basic-paragraph"/>
        <w:spacing w:before="0" w:beforeAutospacing="0" w:after="0" w:afterAutospacing="0" w:line="192" w:lineRule="auto"/>
        <w:ind w:firstLine="482"/>
        <w:rPr>
          <w:rFonts w:ascii="Arial" w:hAnsi="Arial" w:cs="Arial"/>
          <w:color w:val="000000"/>
          <w:sz w:val="20"/>
          <w:szCs w:val="20"/>
        </w:rPr>
      </w:pPr>
      <w:r w:rsidRPr="007E52B2">
        <w:rPr>
          <w:rFonts w:ascii="Arial" w:hAnsi="Arial" w:cs="Arial"/>
          <w:color w:val="000000"/>
          <w:sz w:val="20"/>
          <w:szCs w:val="20"/>
        </w:rPr>
        <w:t>24. Финална акта Регионалне конференције о радио-комуникацијама за планирање дигиталне терестричке радиодифузне службе у деловима Региона 1 и 3, у фреквенцијским опсезима 174–230 MHz и 470–862 MHz (RRC 06), Женева 2006. (GE06 Agreement)</w:t>
      </w:r>
    </w:p>
    <w:p w:rsidR="00D23D60" w:rsidRPr="007E52B2" w:rsidRDefault="00D23D60" w:rsidP="00F943AF">
      <w:pPr>
        <w:pStyle w:val="basic-paragraph"/>
        <w:spacing w:before="0" w:beforeAutospacing="0" w:after="0" w:afterAutospacing="0" w:line="192" w:lineRule="auto"/>
        <w:ind w:firstLine="482"/>
        <w:rPr>
          <w:rFonts w:ascii="Arial" w:hAnsi="Arial" w:cs="Arial"/>
          <w:color w:val="000000"/>
          <w:sz w:val="20"/>
          <w:szCs w:val="20"/>
        </w:rPr>
      </w:pPr>
      <w:r w:rsidRPr="007E52B2">
        <w:rPr>
          <w:rFonts w:ascii="Arial" w:hAnsi="Arial" w:cs="Arial"/>
          <w:color w:val="000000"/>
          <w:sz w:val="20"/>
          <w:szCs w:val="20"/>
        </w:rPr>
        <w:t>25. Специјални договор CEPT Администрација у вези са коришћењем опсега 47–68 MHz, 87.5–108 MHz, 174–230 MHz, 230–240 MHz и 1452–1492 MHz за увођење терестричке дигиталне звучне радио-дифузије, T-DAB, Висбаден, 1995., који је ревидован у Констанци 2007. (WI95revCO07)</w:t>
      </w:r>
    </w:p>
    <w:p w:rsidR="00D23D60" w:rsidRPr="007E52B2" w:rsidRDefault="00D23D60" w:rsidP="00F943AF">
      <w:pPr>
        <w:pStyle w:val="basic-paragraph"/>
        <w:spacing w:before="0" w:beforeAutospacing="0" w:after="0" w:afterAutospacing="0" w:line="192" w:lineRule="auto"/>
        <w:ind w:firstLine="482"/>
        <w:rPr>
          <w:rFonts w:ascii="Arial" w:hAnsi="Arial" w:cs="Arial"/>
          <w:color w:val="000000"/>
          <w:sz w:val="20"/>
          <w:szCs w:val="20"/>
        </w:rPr>
      </w:pPr>
      <w:r w:rsidRPr="007E52B2">
        <w:rPr>
          <w:rFonts w:ascii="Arial" w:hAnsi="Arial" w:cs="Arial"/>
          <w:color w:val="000000"/>
          <w:sz w:val="20"/>
          <w:szCs w:val="20"/>
        </w:rPr>
        <w:t>26. Регионални договор који се односи на радио-телефонску службу на унутрашњим пловним путевима, Базел, 2000.</w:t>
      </w:r>
    </w:p>
    <w:p w:rsidR="00D23D60" w:rsidRPr="007E52B2" w:rsidRDefault="00D23D60" w:rsidP="00F943AF">
      <w:pPr>
        <w:pStyle w:val="basic-paragraph"/>
        <w:spacing w:before="0" w:beforeAutospacing="0" w:after="0" w:afterAutospacing="0" w:line="192" w:lineRule="auto"/>
        <w:ind w:firstLine="482"/>
        <w:rPr>
          <w:rFonts w:ascii="Arial" w:hAnsi="Arial" w:cs="Arial"/>
          <w:color w:val="000000"/>
          <w:sz w:val="20"/>
          <w:szCs w:val="20"/>
        </w:rPr>
      </w:pPr>
      <w:r w:rsidRPr="007E52B2">
        <w:rPr>
          <w:rFonts w:ascii="Arial" w:hAnsi="Arial" w:cs="Arial"/>
          <w:color w:val="000000"/>
          <w:sz w:val="20"/>
          <w:szCs w:val="20"/>
        </w:rPr>
        <w:t>27. Споразум између Администрација који се односи на координацију фреквенција између 29.7 MHz и 39.5 GHz, за фиксну службу и копнену мобилну службу, HСM Споразум</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Fonts w:ascii="Arial" w:hAnsi="Arial" w:cs="Arial"/>
          <w:color w:val="000000"/>
          <w:sz w:val="20"/>
          <w:szCs w:val="20"/>
        </w:rPr>
        <w:t xml:space="preserve">28. Специјални договор CEPT Администрација у вези са коришћењем опсега 1452–1479.5 MHz за терестричку дигиталну звучну радио-дифузију, T-DAB, Мастрихт, </w:t>
      </w:r>
      <w:proofErr w:type="gramStart"/>
      <w:r w:rsidRPr="007E52B2">
        <w:rPr>
          <w:rFonts w:ascii="Arial" w:hAnsi="Arial" w:cs="Arial"/>
          <w:color w:val="000000"/>
          <w:sz w:val="20"/>
          <w:szCs w:val="20"/>
        </w:rPr>
        <w:t>2002.,</w:t>
      </w:r>
      <w:proofErr w:type="gramEnd"/>
      <w:r w:rsidRPr="007E52B2">
        <w:rPr>
          <w:rFonts w:ascii="Arial" w:hAnsi="Arial" w:cs="Arial"/>
          <w:color w:val="000000"/>
          <w:sz w:val="20"/>
          <w:szCs w:val="20"/>
        </w:rPr>
        <w:t xml:space="preserve"> ревидован у Констанци 2007. (МА02revCO07)</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Fonts w:ascii="Arial" w:hAnsi="Arial" w:cs="Arial"/>
          <w:color w:val="000000"/>
          <w:sz w:val="20"/>
          <w:szCs w:val="20"/>
        </w:rPr>
        <w:t xml:space="preserve">29. </w:t>
      </w:r>
      <w:proofErr w:type="gramStart"/>
      <w:r w:rsidRPr="007E52B2">
        <w:rPr>
          <w:rFonts w:ascii="Arial" w:hAnsi="Arial" w:cs="Arial"/>
          <w:color w:val="000000"/>
          <w:sz w:val="20"/>
          <w:szCs w:val="20"/>
        </w:rPr>
        <w:t>одговарајуће</w:t>
      </w:r>
      <w:proofErr w:type="gramEnd"/>
      <w:r w:rsidRPr="007E52B2">
        <w:rPr>
          <w:rFonts w:ascii="Arial" w:hAnsi="Arial" w:cs="Arial"/>
          <w:color w:val="000000"/>
          <w:sz w:val="20"/>
          <w:szCs w:val="20"/>
        </w:rPr>
        <w:t xml:space="preserve"> Препоруке ITU-R радних група,</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Fonts w:ascii="Arial" w:hAnsi="Arial" w:cs="Arial"/>
          <w:color w:val="000000"/>
          <w:sz w:val="20"/>
          <w:szCs w:val="20"/>
        </w:rPr>
        <w:t xml:space="preserve">30. </w:t>
      </w:r>
      <w:proofErr w:type="gramStart"/>
      <w:r w:rsidRPr="007E52B2">
        <w:rPr>
          <w:rFonts w:ascii="Arial" w:hAnsi="Arial" w:cs="Arial"/>
          <w:color w:val="000000"/>
          <w:sz w:val="20"/>
          <w:szCs w:val="20"/>
        </w:rPr>
        <w:t>одговарајуће</w:t>
      </w:r>
      <w:proofErr w:type="gramEnd"/>
      <w:r w:rsidRPr="007E52B2">
        <w:rPr>
          <w:rFonts w:ascii="Arial" w:hAnsi="Arial" w:cs="Arial"/>
          <w:color w:val="000000"/>
          <w:sz w:val="20"/>
          <w:szCs w:val="20"/>
        </w:rPr>
        <w:t xml:space="preserve"> Препоруке CEPT-a и ERC Одлуке,</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Fonts w:ascii="Arial" w:hAnsi="Arial" w:cs="Arial"/>
          <w:color w:val="000000"/>
          <w:sz w:val="20"/>
          <w:szCs w:val="20"/>
        </w:rPr>
        <w:t xml:space="preserve">31. </w:t>
      </w:r>
      <w:proofErr w:type="gramStart"/>
      <w:r w:rsidRPr="007E52B2">
        <w:rPr>
          <w:rFonts w:ascii="Arial" w:hAnsi="Arial" w:cs="Arial"/>
          <w:color w:val="000000"/>
          <w:sz w:val="20"/>
          <w:szCs w:val="20"/>
        </w:rPr>
        <w:t>одговарајући</w:t>
      </w:r>
      <w:proofErr w:type="gramEnd"/>
      <w:r w:rsidRPr="007E52B2">
        <w:rPr>
          <w:rFonts w:ascii="Arial" w:hAnsi="Arial" w:cs="Arial"/>
          <w:color w:val="000000"/>
          <w:sz w:val="20"/>
          <w:szCs w:val="20"/>
        </w:rPr>
        <w:t xml:space="preserve"> ETSI стандарди</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Fonts w:ascii="Arial" w:hAnsi="Arial" w:cs="Arial"/>
          <w:color w:val="000000"/>
          <w:sz w:val="20"/>
          <w:szCs w:val="20"/>
        </w:rPr>
        <w:t>32. ERC Извештај 25, Европска табела намена и коришћења фреквенција у фреквенцијском подручју од 8.3 kHz до 3000 GHz (ECA Табела), 2022</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Fonts w:ascii="Arial" w:hAnsi="Arial" w:cs="Arial"/>
          <w:color w:val="000000"/>
          <w:sz w:val="20"/>
          <w:szCs w:val="20"/>
        </w:rPr>
        <w:t>33. </w:t>
      </w:r>
      <w:r w:rsidRPr="007E52B2">
        <w:rPr>
          <w:rFonts w:ascii="Arial" w:hAnsi="Arial" w:cs="Arial"/>
          <w:color w:val="000000"/>
          <w:sz w:val="20"/>
          <w:szCs w:val="20"/>
          <w:lang w:val="en-GB"/>
        </w:rPr>
        <w:t>Technical procedure between the Frequency Management Authorities of CROATIA, HUNGARY, ROMANIA, SERBIA and UKRAINE on the frequency coordination in the frequency bands 880–890/925–935 MHz (E-GSM)</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Fonts w:ascii="Arial" w:hAnsi="Arial" w:cs="Arial"/>
          <w:color w:val="000000"/>
          <w:sz w:val="20"/>
          <w:szCs w:val="20"/>
        </w:rPr>
        <w:t>Технички споразум између администрација Хрватске, Мађарске, Румуније, Србије и Украјине о координацији у пограничним областима у фреквенцијским опсезима 880–890/925–935 MHz (E-GSM)</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Fonts w:ascii="Arial" w:hAnsi="Arial" w:cs="Arial"/>
          <w:color w:val="000000"/>
          <w:sz w:val="20"/>
          <w:szCs w:val="20"/>
          <w:lang w:val="en-GB"/>
        </w:rPr>
        <w:lastRenderedPageBreak/>
        <w:t>34. Technical arrangement between the national frequency management authorities of AUSTRIA, CROATIA, HUNGARY, ROMANIA, SERBIA, THE SLOVAK REPUBLIC, SLOVENIA AND UKRAINE on border coordination of wide band systems (UMTS, LTE and WiMAX) in the 1800 MHz band, 1710–1785/1805–1880 MHz, Budapest, 28 May 2014</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Fonts w:ascii="Arial" w:hAnsi="Arial" w:cs="Arial"/>
          <w:color w:val="000000"/>
          <w:sz w:val="20"/>
          <w:szCs w:val="20"/>
        </w:rPr>
        <w:t xml:space="preserve">Технички споразум између администрација Аустрије, Хрватске, Мађарске, Румуније, Србије, Републике Словачке, Словеније и Украјине о координацији у пограничним областима, широкопојасних система (UMTS, LTE и WiMAX) у опсегу 1800 MHz, 1710–1785/1805–1880 MHz, Будимпешта, 28. </w:t>
      </w:r>
      <w:proofErr w:type="gramStart"/>
      <w:r w:rsidRPr="007E52B2">
        <w:rPr>
          <w:rFonts w:ascii="Arial" w:hAnsi="Arial" w:cs="Arial"/>
          <w:color w:val="000000"/>
          <w:sz w:val="20"/>
          <w:szCs w:val="20"/>
        </w:rPr>
        <w:t>мaj</w:t>
      </w:r>
      <w:proofErr w:type="gramEnd"/>
      <w:r w:rsidRPr="007E52B2">
        <w:rPr>
          <w:rFonts w:ascii="Arial" w:hAnsi="Arial" w:cs="Arial"/>
          <w:color w:val="000000"/>
          <w:sz w:val="20"/>
          <w:szCs w:val="20"/>
        </w:rPr>
        <w:t xml:space="preserve"> 2014.</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Fonts w:ascii="Arial" w:hAnsi="Arial" w:cs="Arial"/>
          <w:color w:val="000000"/>
          <w:sz w:val="20"/>
          <w:szCs w:val="20"/>
          <w:lang w:val="en-GB"/>
        </w:rPr>
        <w:t>35. Technical arrangement between the national frequency management authorities of AUSTRIA, CROATIA, HUNGARY, ROMANIA, SERBIA, THE SLOVAK REPUBLIC, SLOVENIA AND UKRAINE on border coordination of wide band systems (UMTS, LTE and WiMAX) in the 900 MHz band, 880–915/925–960 MHz, Budapest, 28 May 2014</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Fonts w:ascii="Arial" w:hAnsi="Arial" w:cs="Arial"/>
          <w:color w:val="000000"/>
          <w:sz w:val="20"/>
          <w:szCs w:val="20"/>
        </w:rPr>
        <w:t xml:space="preserve">Технички споразум између администрација Аустрије, Хрватске, Мађарске, Румуније, Србије, Републике Словачке, Словеније и Украјине о координацији у пограничним областима, широкопојасних система (UMTS, LTE и WiMAX) у опсегу 900 MHz, 880–915/925–960 MHz, Будимпешта, 28. </w:t>
      </w:r>
      <w:proofErr w:type="gramStart"/>
      <w:r w:rsidRPr="007E52B2">
        <w:rPr>
          <w:rFonts w:ascii="Arial" w:hAnsi="Arial" w:cs="Arial"/>
          <w:color w:val="000000"/>
          <w:sz w:val="20"/>
          <w:szCs w:val="20"/>
        </w:rPr>
        <w:t>мaj</w:t>
      </w:r>
      <w:proofErr w:type="gramEnd"/>
      <w:r w:rsidRPr="007E52B2">
        <w:rPr>
          <w:rFonts w:ascii="Arial" w:hAnsi="Arial" w:cs="Arial"/>
          <w:color w:val="000000"/>
          <w:sz w:val="20"/>
          <w:szCs w:val="20"/>
        </w:rPr>
        <w:t xml:space="preserve"> 2014.</w:t>
      </w:r>
    </w:p>
    <w:p w:rsidR="00D23D60" w:rsidRPr="007E52B2" w:rsidRDefault="00D23D60" w:rsidP="00F943AF">
      <w:pPr>
        <w:pStyle w:val="basic-paragraph"/>
        <w:spacing w:before="0" w:beforeAutospacing="0" w:after="0" w:afterAutospacing="0" w:line="216" w:lineRule="auto"/>
        <w:ind w:firstLine="482"/>
        <w:rPr>
          <w:rFonts w:ascii="Arial" w:hAnsi="Arial" w:cs="Arial"/>
          <w:color w:val="000000"/>
          <w:sz w:val="20"/>
          <w:szCs w:val="20"/>
        </w:rPr>
      </w:pPr>
      <w:r w:rsidRPr="007E52B2">
        <w:rPr>
          <w:rFonts w:ascii="Arial" w:hAnsi="Arial" w:cs="Arial"/>
          <w:color w:val="000000"/>
          <w:sz w:val="20"/>
          <w:szCs w:val="20"/>
        </w:rPr>
        <w:t>36. Agreement between the National Frequency Management Authorities of SERBIA and HUNGARY on border coordination of IMT-2000/UMTS systems in the frequency bands 1900–1980 and 2110–2170 MHz</w:t>
      </w:r>
    </w:p>
    <w:p w:rsidR="00D23D60" w:rsidRPr="007E52B2" w:rsidRDefault="00D23D60" w:rsidP="00F943AF">
      <w:pPr>
        <w:pStyle w:val="basic-paragraph"/>
        <w:spacing w:before="0" w:beforeAutospacing="0" w:after="0" w:afterAutospacing="0" w:line="216" w:lineRule="auto"/>
        <w:ind w:firstLine="482"/>
        <w:rPr>
          <w:rFonts w:ascii="Arial" w:hAnsi="Arial" w:cs="Arial"/>
          <w:color w:val="000000"/>
          <w:sz w:val="20"/>
          <w:szCs w:val="20"/>
        </w:rPr>
      </w:pPr>
      <w:r w:rsidRPr="007E52B2">
        <w:rPr>
          <w:rFonts w:ascii="Arial" w:hAnsi="Arial" w:cs="Arial"/>
          <w:color w:val="000000"/>
          <w:sz w:val="20"/>
          <w:szCs w:val="20"/>
        </w:rPr>
        <w:t>Технички споразум између администрација Србије и Мађарске о координацији у пограничним областима за IMT/UMTS системе у фреквенцијским опсезима 1900–1980 /2010–2025/2110–2170 MHz</w:t>
      </w:r>
    </w:p>
    <w:p w:rsidR="00D23D60" w:rsidRPr="007E52B2" w:rsidRDefault="00D23D60" w:rsidP="00F943AF">
      <w:pPr>
        <w:pStyle w:val="basic-paragraph"/>
        <w:spacing w:before="0" w:beforeAutospacing="0" w:after="0" w:afterAutospacing="0" w:line="216" w:lineRule="auto"/>
        <w:ind w:firstLine="482"/>
        <w:rPr>
          <w:rFonts w:ascii="Arial" w:hAnsi="Arial" w:cs="Arial"/>
          <w:color w:val="000000"/>
          <w:sz w:val="20"/>
          <w:szCs w:val="20"/>
        </w:rPr>
      </w:pPr>
      <w:r w:rsidRPr="007E52B2">
        <w:rPr>
          <w:rFonts w:ascii="Arial" w:hAnsi="Arial" w:cs="Arial"/>
          <w:color w:val="000000"/>
          <w:sz w:val="20"/>
          <w:szCs w:val="20"/>
          <w:lang w:val="en-GB"/>
        </w:rPr>
        <w:t>37. Technical agreement between the National Frequency Management Authorities of SERBIA and MONTENEGRO on border coordination of IMT/UMTS systems in GSM bands 880–915/925–960 MHz and 1710–1785/1805–1880 MHz</w:t>
      </w:r>
    </w:p>
    <w:p w:rsidR="00D23D60" w:rsidRPr="007E52B2" w:rsidRDefault="00D23D60" w:rsidP="00F943AF">
      <w:pPr>
        <w:pStyle w:val="basic-paragraph"/>
        <w:spacing w:before="0" w:beforeAutospacing="0" w:after="0" w:afterAutospacing="0" w:line="216" w:lineRule="auto"/>
        <w:ind w:firstLine="482"/>
        <w:rPr>
          <w:rFonts w:ascii="Arial" w:hAnsi="Arial" w:cs="Arial"/>
          <w:color w:val="000000"/>
          <w:sz w:val="20"/>
          <w:szCs w:val="20"/>
        </w:rPr>
      </w:pPr>
      <w:r w:rsidRPr="007E52B2">
        <w:rPr>
          <w:rFonts w:ascii="Arial" w:hAnsi="Arial" w:cs="Arial"/>
          <w:color w:val="000000"/>
          <w:sz w:val="20"/>
          <w:szCs w:val="20"/>
        </w:rPr>
        <w:t>Технички споразум између администрација Србије и Црне Горе о координацији у пограничним областима за IMT/UMTS системе у GSM фреквенцијским опсезима 880–915/925–960 MHz (GSM 900) и 1710–1785/1805–1880 MHz (GSM 1800)</w:t>
      </w:r>
    </w:p>
    <w:p w:rsidR="00D23D60" w:rsidRPr="007E52B2" w:rsidRDefault="00D23D60" w:rsidP="00F943AF">
      <w:pPr>
        <w:pStyle w:val="basic-paragraph"/>
        <w:spacing w:before="0" w:beforeAutospacing="0" w:after="0" w:afterAutospacing="0" w:line="216" w:lineRule="auto"/>
        <w:ind w:firstLine="482"/>
        <w:rPr>
          <w:rFonts w:ascii="Arial" w:hAnsi="Arial" w:cs="Arial"/>
          <w:color w:val="000000"/>
          <w:sz w:val="20"/>
          <w:szCs w:val="20"/>
        </w:rPr>
      </w:pPr>
      <w:r w:rsidRPr="007E52B2">
        <w:rPr>
          <w:rFonts w:ascii="Arial" w:hAnsi="Arial" w:cs="Arial"/>
          <w:color w:val="000000"/>
          <w:sz w:val="20"/>
          <w:szCs w:val="20"/>
          <w:lang w:val="en-GB"/>
        </w:rPr>
        <w:t>38. Technical agreement between the National Frequency Management Authorities of SERBIA and MONTENEGRO on border coordination of IMT/UMTS systems in the frequency bands 1900–1980/2010–2025/2110–2170 MHz</w:t>
      </w:r>
    </w:p>
    <w:p w:rsidR="00D23D60" w:rsidRPr="007E52B2" w:rsidRDefault="00D23D60" w:rsidP="00F943AF">
      <w:pPr>
        <w:pStyle w:val="basic-paragraph"/>
        <w:spacing w:before="0" w:beforeAutospacing="0" w:after="0" w:afterAutospacing="0" w:line="216" w:lineRule="auto"/>
        <w:ind w:firstLine="482"/>
        <w:rPr>
          <w:rFonts w:ascii="Arial" w:hAnsi="Arial" w:cs="Arial"/>
          <w:color w:val="000000"/>
          <w:sz w:val="20"/>
          <w:szCs w:val="20"/>
        </w:rPr>
      </w:pPr>
      <w:r w:rsidRPr="007E52B2">
        <w:rPr>
          <w:rFonts w:ascii="Arial" w:hAnsi="Arial" w:cs="Arial"/>
          <w:color w:val="000000"/>
          <w:sz w:val="20"/>
          <w:szCs w:val="20"/>
        </w:rPr>
        <w:t>Технички споразум између администрација Србије и Црне Горе о координацији у пограничним областима за IMT/UMTS системе у фреквенцијским опсезима 1900–1980/2010–2025/2110–2170 MHz</w:t>
      </w:r>
    </w:p>
    <w:p w:rsidR="00D23D60" w:rsidRPr="007E52B2" w:rsidRDefault="00D23D60" w:rsidP="00F943AF">
      <w:pPr>
        <w:pStyle w:val="basic-paragraph"/>
        <w:spacing w:before="0" w:beforeAutospacing="0" w:after="0" w:afterAutospacing="0" w:line="216" w:lineRule="auto"/>
        <w:ind w:firstLine="482"/>
        <w:rPr>
          <w:rFonts w:ascii="Arial" w:hAnsi="Arial" w:cs="Arial"/>
          <w:color w:val="000000"/>
          <w:sz w:val="20"/>
          <w:szCs w:val="20"/>
        </w:rPr>
      </w:pPr>
      <w:r w:rsidRPr="007E52B2">
        <w:rPr>
          <w:rFonts w:ascii="Arial" w:hAnsi="Arial" w:cs="Arial"/>
          <w:color w:val="000000"/>
          <w:sz w:val="20"/>
          <w:szCs w:val="20"/>
          <w:lang w:val="en-GB"/>
        </w:rPr>
        <w:t>39. Agreement between the Administrations of CROATIA, HUNGARY, ROMANIA and SERBIA concerning the frequency coordination and preferential frequency distribution for Fixed Wireless Access (FWA) systems in the bands 3410–3500 MHz and 3510–3600 MHz</w:t>
      </w:r>
    </w:p>
    <w:p w:rsidR="00D23D60" w:rsidRPr="007E52B2" w:rsidRDefault="00D23D60" w:rsidP="00F943AF">
      <w:pPr>
        <w:pStyle w:val="basic-paragraph"/>
        <w:spacing w:before="0" w:beforeAutospacing="0" w:after="0" w:afterAutospacing="0" w:line="216" w:lineRule="auto"/>
        <w:ind w:firstLine="482"/>
        <w:rPr>
          <w:rFonts w:ascii="Arial" w:hAnsi="Arial" w:cs="Arial"/>
          <w:color w:val="000000"/>
          <w:sz w:val="20"/>
          <w:szCs w:val="20"/>
        </w:rPr>
      </w:pPr>
      <w:r w:rsidRPr="007E52B2">
        <w:rPr>
          <w:rFonts w:ascii="Arial" w:hAnsi="Arial" w:cs="Arial"/>
          <w:color w:val="000000"/>
          <w:sz w:val="20"/>
          <w:szCs w:val="20"/>
        </w:rPr>
        <w:t>Споразум између Администрација Хрватске, Мађарске, Румуније и Србије који се односи на координацију фреквенција и расподелу преферентних фреквенцијских канала за системе са фиксним бежичним приступом (FWA) у опсезима 3410–3600 МHz и 3600–3800 МHz</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Fonts w:ascii="Arial" w:hAnsi="Arial" w:cs="Arial"/>
          <w:color w:val="000000"/>
          <w:sz w:val="20"/>
          <w:szCs w:val="20"/>
        </w:rPr>
        <w:t>40. Agreement between the Administrations of CROATIA, HUNGARY, ROMANIA and SERBIA concerning the frequency coordination and preferential frequency distribution for fixed wireless systems in the bands 24.549–25.053 GHz and 25.557–26.061 GHz</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Fonts w:ascii="Arial" w:hAnsi="Arial" w:cs="Arial"/>
          <w:color w:val="000000"/>
          <w:sz w:val="20"/>
          <w:szCs w:val="20"/>
        </w:rPr>
        <w:t>Споразум између Администрација Хрватске, Мађарске, Румуније и Србије који се односи на координацију фреквенција и расподелу преферентних фреквенцијских канала за фикснe бежичнe системе у опсезима 24.549–25.053 GHz и 25.557–26.061 GHz</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Fonts w:ascii="Arial" w:hAnsi="Arial" w:cs="Arial"/>
          <w:color w:val="000000"/>
          <w:sz w:val="20"/>
          <w:szCs w:val="20"/>
          <w:lang w:val="en-GB"/>
        </w:rPr>
        <w:t>41. Agreement between the Administrations of CROATIA, HUNGARY, ROMANIA and SERBIA concerning the frequency coordination and preferential frequency distribution for fixed wireless systems in the bands 27940.5–28444.5 MHz and 28948.5–29452.5 MHz</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Fonts w:ascii="Arial" w:hAnsi="Arial" w:cs="Arial"/>
          <w:color w:val="000000"/>
          <w:sz w:val="20"/>
          <w:szCs w:val="20"/>
        </w:rPr>
        <w:t>Споразум између Администрација Хрватске, Мађарске, Румуније и Србије који се односи на координацију фреквенција и расподелу преферентних фреквенцијских канала за фикснe бежичнe системе у опсезима 27940.5–28444.5 MHz и 28948.5–29452.5 MHz</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Fonts w:ascii="Arial" w:hAnsi="Arial" w:cs="Arial"/>
          <w:color w:val="000000"/>
          <w:sz w:val="20"/>
          <w:szCs w:val="20"/>
          <w:lang w:val="en-GB"/>
        </w:rPr>
        <w:t>42. Technical arrangement between the national frequency management authorities of AUSTRIA, CROATIA, HUNGARY, SERBIA, THE SLOVAK REPUBLIC AND SLOVENIA on border coordination for terrestrial systems capable of providing electronic communications services in the frequency band 3400–3800 MHz, Geneva, 24 November 2015</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Fonts w:ascii="Arial" w:hAnsi="Arial" w:cs="Arial"/>
          <w:color w:val="000000"/>
          <w:sz w:val="20"/>
          <w:szCs w:val="20"/>
        </w:rPr>
        <w:t xml:space="preserve">Технички споразум између администрација Аустрије, Хрватске, Мађарске, Србије, Републике Словачке и Словеније о координацији у пограничним областима, терестричких система намењених за пружање електронских комуникацион услуга у фреквенцијском опсегу 3400–3800 MHz, Женева 24. </w:t>
      </w:r>
      <w:proofErr w:type="gramStart"/>
      <w:r w:rsidRPr="007E52B2">
        <w:rPr>
          <w:rFonts w:ascii="Arial" w:hAnsi="Arial" w:cs="Arial"/>
          <w:color w:val="000000"/>
          <w:sz w:val="20"/>
          <w:szCs w:val="20"/>
        </w:rPr>
        <w:t>новембар</w:t>
      </w:r>
      <w:proofErr w:type="gramEnd"/>
      <w:r w:rsidRPr="007E52B2">
        <w:rPr>
          <w:rFonts w:ascii="Arial" w:hAnsi="Arial" w:cs="Arial"/>
          <w:color w:val="000000"/>
          <w:sz w:val="20"/>
          <w:szCs w:val="20"/>
        </w:rPr>
        <w:t xml:space="preserve"> 2015;</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Fonts w:ascii="Arial" w:hAnsi="Arial" w:cs="Arial"/>
          <w:color w:val="000000"/>
          <w:sz w:val="20"/>
          <w:szCs w:val="20"/>
        </w:rPr>
        <w:t>43. Agreement between the Administrations of Croatia, Hungary and Serbia concerning the allotment of preferential frequencies for narrowband systems and co-ordination rules for wideband systems in the band 410–430 MHz, Zagreb, 22 February 2016</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proofErr w:type="gramStart"/>
      <w:r w:rsidRPr="007E52B2">
        <w:rPr>
          <w:rFonts w:ascii="Arial" w:hAnsi="Arial" w:cs="Arial"/>
          <w:color w:val="000000"/>
          <w:sz w:val="20"/>
          <w:szCs w:val="20"/>
        </w:rPr>
        <w:t>Споразум између Администрација Хрватске, Мађарске и Србије који се односи на расподелу преферентних фреквенција за ускопојасне системе и правила за координацију за широкопојасне системе у опсегу 410–430MHz, Загреб, 22 фебруар 2016.</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године</w:t>
      </w:r>
      <w:proofErr w:type="gramEnd"/>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Fonts w:ascii="Arial" w:hAnsi="Arial" w:cs="Arial"/>
          <w:color w:val="000000"/>
          <w:sz w:val="20"/>
          <w:szCs w:val="20"/>
          <w:lang w:val="en-GB"/>
        </w:rPr>
        <w:t>44. Multilateral Framework Agreement between the Administrations of Albania, Austria, Bosnia and Herzegovina, Bulgaria, Croatia, Greece, Former Yugoslav Republic of Macedonia, Hungary, Montenegro, Romania, Serbia, Slovenia, Turkey and Ukraine on the frequency plan for the future digital terrestrial television in the frequency band 470–694 MHz, Gödöllő, 6 December 2017</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Fonts w:ascii="Arial" w:hAnsi="Arial" w:cs="Arial"/>
          <w:color w:val="000000"/>
          <w:sz w:val="20"/>
          <w:szCs w:val="20"/>
        </w:rPr>
        <w:t xml:space="preserve">Мултилатерални оквирни споразум између администрација Албаније, Аустрије, Босне и Херцеговине, Бугарске, Хрватске, Грчке, Бивше Југословенске Републике Македоније, Мађарске, Црне Горе, Румуније, Србије, Словеније, Турске и Украјине о фреквенцијском плану за будућу дигиталну терестричку телевизију у фреквенцијском опсегу 470–694 МHz, Gödöllő, 6. </w:t>
      </w:r>
      <w:proofErr w:type="gramStart"/>
      <w:r w:rsidRPr="007E52B2">
        <w:rPr>
          <w:rFonts w:ascii="Arial" w:hAnsi="Arial" w:cs="Arial"/>
          <w:color w:val="000000"/>
          <w:sz w:val="20"/>
          <w:szCs w:val="20"/>
        </w:rPr>
        <w:t>децембар</w:t>
      </w:r>
      <w:proofErr w:type="gramEnd"/>
      <w:r w:rsidRPr="007E52B2">
        <w:rPr>
          <w:rFonts w:ascii="Arial" w:hAnsi="Arial" w:cs="Arial"/>
          <w:color w:val="000000"/>
          <w:sz w:val="20"/>
          <w:szCs w:val="20"/>
        </w:rPr>
        <w:t xml:space="preserve"> 2017.</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Fonts w:ascii="Arial" w:hAnsi="Arial" w:cs="Arial"/>
          <w:color w:val="000000"/>
          <w:sz w:val="20"/>
          <w:szCs w:val="20"/>
        </w:rPr>
        <w:lastRenderedPageBreak/>
        <w:t>45. Agreement on frequency coordination of digital terrestrial television (DTT) in the frequency band 470–694 MHz between Administration of Bosnia and Herzegovina and Administration of the Republic of Serbia, Budapest, 5 December 2017</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proofErr w:type="gramStart"/>
      <w:r w:rsidRPr="007E52B2">
        <w:rPr>
          <w:rFonts w:ascii="Arial" w:hAnsi="Arial" w:cs="Arial"/>
          <w:color w:val="000000"/>
          <w:sz w:val="20"/>
          <w:szCs w:val="20"/>
        </w:rPr>
        <w:t>Споразум о координацији фреквенција за дигиталну терестричку телевизију у фреквенцијском опсегу 470–694 МHz између администрација Босне и Херцеговине и Републике Србије, Будимпешта, 5.</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децембар</w:t>
      </w:r>
      <w:proofErr w:type="gramEnd"/>
      <w:r w:rsidRPr="007E52B2">
        <w:rPr>
          <w:rFonts w:ascii="Arial" w:hAnsi="Arial" w:cs="Arial"/>
          <w:color w:val="000000"/>
          <w:sz w:val="20"/>
          <w:szCs w:val="20"/>
        </w:rPr>
        <w:t xml:space="preserve"> 2017.</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Fonts w:ascii="Arial" w:hAnsi="Arial" w:cs="Arial"/>
          <w:color w:val="000000"/>
          <w:sz w:val="20"/>
          <w:szCs w:val="20"/>
        </w:rPr>
        <w:t>46. Agreement on frequency coordination of digital terrestrial television (DTT) in the frequency band 470–694 MHz between Administration of Bulgaria and and Administration of the Republic of Serbia, Budapest, 5 December 2017</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proofErr w:type="gramStart"/>
      <w:r w:rsidRPr="007E52B2">
        <w:rPr>
          <w:rFonts w:ascii="Arial" w:hAnsi="Arial" w:cs="Arial"/>
          <w:color w:val="000000"/>
          <w:sz w:val="20"/>
          <w:szCs w:val="20"/>
        </w:rPr>
        <w:t>Споразум о координацији фреквенција за дигиталну терестричку телевизију у фреквенцијском опсегу 470–694 МHz између администрација Бугарске и Републике Србије, Будимпешта, 5.</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децембар</w:t>
      </w:r>
      <w:proofErr w:type="gramEnd"/>
      <w:r w:rsidRPr="007E52B2">
        <w:rPr>
          <w:rFonts w:ascii="Arial" w:hAnsi="Arial" w:cs="Arial"/>
          <w:color w:val="000000"/>
          <w:sz w:val="20"/>
          <w:szCs w:val="20"/>
        </w:rPr>
        <w:t xml:space="preserve"> 2017.</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Fonts w:ascii="Arial" w:hAnsi="Arial" w:cs="Arial"/>
          <w:color w:val="000000"/>
          <w:sz w:val="20"/>
          <w:szCs w:val="20"/>
        </w:rPr>
        <w:t>47. Agreement on frequency coordination of digital terrestrial television (DTT) in the frequency band 470–694 MHz between Administration of the Republic of Serbia and Administration of Hungary, Budapest, 5 December 2017</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proofErr w:type="gramStart"/>
      <w:r w:rsidRPr="007E52B2">
        <w:rPr>
          <w:rFonts w:ascii="Arial" w:hAnsi="Arial" w:cs="Arial"/>
          <w:color w:val="000000"/>
          <w:sz w:val="20"/>
          <w:szCs w:val="20"/>
        </w:rPr>
        <w:t>Споразум о координацији фреквенција за дигиталну терестричку телевизију у фреквенцијском опсегу 470–694 МHz између администрација Републике Србије и Мађарске, Будимпешта, 5.</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децембар</w:t>
      </w:r>
      <w:proofErr w:type="gramEnd"/>
      <w:r w:rsidRPr="007E52B2">
        <w:rPr>
          <w:rFonts w:ascii="Arial" w:hAnsi="Arial" w:cs="Arial"/>
          <w:color w:val="000000"/>
          <w:sz w:val="20"/>
          <w:szCs w:val="20"/>
        </w:rPr>
        <w:t xml:space="preserve"> 2017.</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Fonts w:ascii="Arial" w:hAnsi="Arial" w:cs="Arial"/>
          <w:color w:val="000000"/>
          <w:sz w:val="20"/>
          <w:szCs w:val="20"/>
        </w:rPr>
        <w:t>48. Agreement on frequency coordination of digital terrestrial television (DTT) in the frequency band 470–694 MHz between Administration of Croatia and Administration of the Republic of Serbia, Budapest, 5 December 2017</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proofErr w:type="gramStart"/>
      <w:r w:rsidRPr="007E52B2">
        <w:rPr>
          <w:rFonts w:ascii="Arial" w:hAnsi="Arial" w:cs="Arial"/>
          <w:color w:val="000000"/>
          <w:sz w:val="20"/>
          <w:szCs w:val="20"/>
        </w:rPr>
        <w:t>Споразум о координацији фреквенција за дигиталну терестричку телевизију у фреквенцијском опсегу 470–694 МHz између администрација Хрватске и Републике Србије, Будимпешта, 5.</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децембар</w:t>
      </w:r>
      <w:proofErr w:type="gramEnd"/>
      <w:r w:rsidRPr="007E52B2">
        <w:rPr>
          <w:rFonts w:ascii="Arial" w:hAnsi="Arial" w:cs="Arial"/>
          <w:color w:val="000000"/>
          <w:sz w:val="20"/>
          <w:szCs w:val="20"/>
        </w:rPr>
        <w:t xml:space="preserve"> 2017.</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Fonts w:ascii="Arial" w:hAnsi="Arial" w:cs="Arial"/>
          <w:color w:val="000000"/>
          <w:sz w:val="20"/>
          <w:szCs w:val="20"/>
        </w:rPr>
        <w:t>49. Agreement on frequency coordination of digital terrestrial television (DTT) in the frequency band 470–694 MHz between Administration of Republic of Macedonia and Administration of the Republic of Serbia, Budapest, 5 December 2017</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proofErr w:type="gramStart"/>
      <w:r w:rsidRPr="007E52B2">
        <w:rPr>
          <w:rFonts w:ascii="Arial" w:hAnsi="Arial" w:cs="Arial"/>
          <w:color w:val="000000"/>
          <w:sz w:val="20"/>
          <w:szCs w:val="20"/>
        </w:rPr>
        <w:t>Споразум о координацији фреквенција за дигиталну терестричку телевизију у фреквенцијском опсегу 470–694 МHz између администрација Републике Македоније и Републике Србије, Будимпешта, 5.</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децембар</w:t>
      </w:r>
      <w:proofErr w:type="gramEnd"/>
      <w:r w:rsidRPr="007E52B2">
        <w:rPr>
          <w:rFonts w:ascii="Arial" w:hAnsi="Arial" w:cs="Arial"/>
          <w:color w:val="000000"/>
          <w:sz w:val="20"/>
          <w:szCs w:val="20"/>
        </w:rPr>
        <w:t xml:space="preserve"> 2017.</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Fonts w:ascii="Arial" w:hAnsi="Arial" w:cs="Arial"/>
          <w:color w:val="000000"/>
          <w:sz w:val="20"/>
          <w:szCs w:val="20"/>
        </w:rPr>
        <w:t>50. Agreement on frequency coordination of digital terrestrial television (DTT) in the frequency band 470–694 MHz between Administration of Montenegro and Administration of the Republic of Serbia, Budapest, 5 December 2017</w:t>
      </w:r>
    </w:p>
    <w:p w:rsidR="00D23D60" w:rsidRPr="007E52B2" w:rsidRDefault="00D23D60" w:rsidP="00F943AF">
      <w:pPr>
        <w:pStyle w:val="basic-paragraph"/>
        <w:spacing w:before="0" w:beforeAutospacing="0" w:after="0" w:afterAutospacing="0" w:line="216" w:lineRule="auto"/>
        <w:ind w:firstLine="482"/>
        <w:rPr>
          <w:rFonts w:ascii="Arial" w:hAnsi="Arial" w:cs="Arial"/>
          <w:color w:val="000000"/>
          <w:sz w:val="20"/>
          <w:szCs w:val="20"/>
        </w:rPr>
      </w:pPr>
      <w:proofErr w:type="gramStart"/>
      <w:r w:rsidRPr="007E52B2">
        <w:rPr>
          <w:rFonts w:ascii="Arial" w:hAnsi="Arial" w:cs="Arial"/>
          <w:color w:val="000000"/>
          <w:sz w:val="20"/>
          <w:szCs w:val="20"/>
        </w:rPr>
        <w:t>Споразум о координацији фреквенција за дигиталну терестричку телевизију у фреквенцијском опсегу 470–694 МHz између администрација Црне Горе и Републике Србије, Будимпешта, 5.</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децембар</w:t>
      </w:r>
      <w:proofErr w:type="gramEnd"/>
      <w:r w:rsidRPr="007E52B2">
        <w:rPr>
          <w:rFonts w:ascii="Arial" w:hAnsi="Arial" w:cs="Arial"/>
          <w:color w:val="000000"/>
          <w:sz w:val="20"/>
          <w:szCs w:val="20"/>
        </w:rPr>
        <w:t xml:space="preserve"> 2017.</w:t>
      </w:r>
    </w:p>
    <w:p w:rsidR="00D23D60" w:rsidRPr="007E52B2" w:rsidRDefault="00D23D60" w:rsidP="00F943AF">
      <w:pPr>
        <w:pStyle w:val="basic-paragraph"/>
        <w:spacing w:before="0" w:beforeAutospacing="0" w:after="0" w:afterAutospacing="0" w:line="216" w:lineRule="auto"/>
        <w:ind w:firstLine="482"/>
        <w:rPr>
          <w:rFonts w:ascii="Arial" w:hAnsi="Arial" w:cs="Arial"/>
          <w:color w:val="000000"/>
          <w:sz w:val="20"/>
          <w:szCs w:val="20"/>
        </w:rPr>
      </w:pPr>
      <w:r w:rsidRPr="007E52B2">
        <w:rPr>
          <w:rFonts w:ascii="Arial" w:hAnsi="Arial" w:cs="Arial"/>
          <w:color w:val="000000"/>
          <w:sz w:val="20"/>
          <w:szCs w:val="20"/>
        </w:rPr>
        <w:t>51. Agreement on frequency coordination of digital terrestrial television (DTT) in the frequency band 470–694 MHz between Administration of Romania and Administration of the Republic of Serbia, Budapest, 5 December 2017</w:t>
      </w:r>
    </w:p>
    <w:p w:rsidR="00D23D60" w:rsidRPr="007E52B2" w:rsidRDefault="00D23D60" w:rsidP="00F943AF">
      <w:pPr>
        <w:pStyle w:val="basic-paragraph"/>
        <w:spacing w:before="0" w:beforeAutospacing="0" w:after="0" w:afterAutospacing="0" w:line="216" w:lineRule="auto"/>
        <w:ind w:firstLine="482"/>
        <w:rPr>
          <w:rFonts w:ascii="Arial" w:hAnsi="Arial" w:cs="Arial"/>
          <w:color w:val="000000"/>
          <w:sz w:val="20"/>
          <w:szCs w:val="20"/>
        </w:rPr>
      </w:pPr>
      <w:proofErr w:type="gramStart"/>
      <w:r w:rsidRPr="007E52B2">
        <w:rPr>
          <w:rFonts w:ascii="Arial" w:hAnsi="Arial" w:cs="Arial"/>
          <w:color w:val="000000"/>
          <w:sz w:val="20"/>
          <w:szCs w:val="20"/>
        </w:rPr>
        <w:t>Споразум о координацији фреквенција за дигиталну терестричку телевизију у фреквенцијском опсегу 470–694 МHz између администрација Румуније и Републике Србије, Будимпешта, 5.</w:t>
      </w:r>
      <w:proofErr w:type="gramEnd"/>
      <w:r w:rsidRPr="007E52B2">
        <w:rPr>
          <w:rFonts w:ascii="Arial" w:hAnsi="Arial" w:cs="Arial"/>
          <w:color w:val="000000"/>
          <w:sz w:val="20"/>
          <w:szCs w:val="20"/>
        </w:rPr>
        <w:t xml:space="preserve"> </w:t>
      </w:r>
      <w:proofErr w:type="gramStart"/>
      <w:r w:rsidRPr="007E52B2">
        <w:rPr>
          <w:rFonts w:ascii="Arial" w:hAnsi="Arial" w:cs="Arial"/>
          <w:color w:val="000000"/>
          <w:sz w:val="20"/>
          <w:szCs w:val="20"/>
        </w:rPr>
        <w:t>децембар</w:t>
      </w:r>
      <w:proofErr w:type="gramEnd"/>
      <w:r w:rsidRPr="007E52B2">
        <w:rPr>
          <w:rFonts w:ascii="Arial" w:hAnsi="Arial" w:cs="Arial"/>
          <w:color w:val="000000"/>
          <w:sz w:val="20"/>
          <w:szCs w:val="20"/>
        </w:rPr>
        <w:t xml:space="preserve"> 2017.</w:t>
      </w:r>
    </w:p>
    <w:p w:rsidR="00D23D60" w:rsidRPr="007E52B2" w:rsidRDefault="00D23D60" w:rsidP="00F943AF">
      <w:pPr>
        <w:pStyle w:val="basic-paragraph"/>
        <w:spacing w:before="0" w:beforeAutospacing="0" w:after="0" w:afterAutospacing="0" w:line="216" w:lineRule="auto"/>
        <w:ind w:firstLine="482"/>
        <w:rPr>
          <w:rFonts w:ascii="Arial" w:hAnsi="Arial" w:cs="Arial"/>
          <w:color w:val="000000"/>
          <w:sz w:val="20"/>
          <w:szCs w:val="20"/>
        </w:rPr>
      </w:pPr>
      <w:r w:rsidRPr="007E52B2">
        <w:rPr>
          <w:rFonts w:ascii="Arial" w:hAnsi="Arial" w:cs="Arial"/>
          <w:color w:val="000000"/>
          <w:sz w:val="20"/>
          <w:szCs w:val="20"/>
          <w:lang w:val="en-GB"/>
        </w:rPr>
        <w:t>52. TECHNICAL ARRANGEMENT between the National Frequency Management Authorities of CROATIA, HUNGARY and SERBIA concerning allotment of preferential frequencies and coordination of GSM 1800 systems in the frequency bands 1710–1785/1805–1880 MHz.</w:t>
      </w:r>
    </w:p>
    <w:p w:rsidR="00D23D60" w:rsidRPr="007E52B2" w:rsidRDefault="00D23D60" w:rsidP="00F943AF">
      <w:pPr>
        <w:pStyle w:val="basic-paragraph"/>
        <w:spacing w:before="0" w:beforeAutospacing="0" w:after="0" w:afterAutospacing="0" w:line="216" w:lineRule="auto"/>
        <w:ind w:firstLine="482"/>
        <w:rPr>
          <w:rFonts w:ascii="Arial" w:hAnsi="Arial" w:cs="Arial"/>
          <w:color w:val="000000"/>
          <w:sz w:val="20"/>
          <w:szCs w:val="20"/>
        </w:rPr>
      </w:pPr>
      <w:proofErr w:type="gramStart"/>
      <w:r w:rsidRPr="007E52B2">
        <w:rPr>
          <w:rFonts w:ascii="Arial" w:hAnsi="Arial" w:cs="Arial"/>
          <w:color w:val="000000"/>
          <w:sz w:val="20"/>
          <w:szCs w:val="20"/>
        </w:rPr>
        <w:t>Технички споразум између администрација држава Хрватске, Мађарске и Србије о додели преференцијалних фреквенција и координацији GSM 1800 система у фреквенцијским опсезима 1710–1785/1805–1880 MHz.</w:t>
      </w:r>
      <w:proofErr w:type="gramEnd"/>
    </w:p>
    <w:p w:rsidR="00D23D60" w:rsidRPr="007E52B2" w:rsidRDefault="00D23D60" w:rsidP="00F943AF">
      <w:pPr>
        <w:pStyle w:val="basic-paragraph"/>
        <w:spacing w:before="0" w:beforeAutospacing="0" w:after="0" w:afterAutospacing="0" w:line="216" w:lineRule="auto"/>
        <w:ind w:firstLine="482"/>
        <w:rPr>
          <w:rFonts w:ascii="Arial" w:hAnsi="Arial" w:cs="Arial"/>
          <w:color w:val="000000"/>
          <w:sz w:val="20"/>
          <w:szCs w:val="20"/>
        </w:rPr>
      </w:pPr>
      <w:r w:rsidRPr="007E52B2">
        <w:rPr>
          <w:rFonts w:ascii="Arial" w:hAnsi="Arial" w:cs="Arial"/>
          <w:color w:val="000000"/>
          <w:sz w:val="20"/>
          <w:szCs w:val="20"/>
          <w:lang w:val="en-GB"/>
        </w:rPr>
        <w:t>53. Technical arrangement between the National Frequency Management Authorities of Austria, Croatia, Hungary, Romania, Serbia, The Slovak Republic and Slovenia on border coordination for terrestrial systems capable of providing electronic communications services in the 1920–1980 MHz and 2110–2170 MHz frequency bands, Budapest, 14 February 2018</w:t>
      </w:r>
    </w:p>
    <w:p w:rsidR="00D23D60" w:rsidRPr="007E52B2" w:rsidRDefault="00D23D60" w:rsidP="00F943AF">
      <w:pPr>
        <w:pStyle w:val="basic-paragraph"/>
        <w:spacing w:before="0" w:beforeAutospacing="0" w:after="0" w:afterAutospacing="0" w:line="216" w:lineRule="auto"/>
        <w:ind w:firstLine="482"/>
        <w:rPr>
          <w:rFonts w:ascii="Arial" w:hAnsi="Arial" w:cs="Arial"/>
          <w:color w:val="000000"/>
          <w:sz w:val="20"/>
          <w:szCs w:val="20"/>
        </w:rPr>
      </w:pPr>
      <w:r w:rsidRPr="007E52B2">
        <w:rPr>
          <w:rFonts w:ascii="Arial" w:hAnsi="Arial" w:cs="Arial"/>
          <w:color w:val="000000"/>
          <w:sz w:val="20"/>
          <w:szCs w:val="20"/>
        </w:rPr>
        <w:t xml:space="preserve">Технички споразум између администрација Аустрије, Хрватске, Мађарске, Румуније, Србије, Словачке Републике и Словеније о координацији у пограничним областима, терестричких система намењених за пружање електронских комуникационих услуга у фреквенцијским опсезима 1920–1980 MHz и 2110–2170 MHz, Будимпешта 14. </w:t>
      </w:r>
      <w:proofErr w:type="gramStart"/>
      <w:r w:rsidRPr="007E52B2">
        <w:rPr>
          <w:rFonts w:ascii="Arial" w:hAnsi="Arial" w:cs="Arial"/>
          <w:color w:val="000000"/>
          <w:sz w:val="20"/>
          <w:szCs w:val="20"/>
        </w:rPr>
        <w:t>фебруар</w:t>
      </w:r>
      <w:proofErr w:type="gramEnd"/>
      <w:r w:rsidRPr="007E52B2">
        <w:rPr>
          <w:rFonts w:ascii="Arial" w:hAnsi="Arial" w:cs="Arial"/>
          <w:color w:val="000000"/>
          <w:sz w:val="20"/>
          <w:szCs w:val="20"/>
        </w:rPr>
        <w:t xml:space="preserve"> 2018.</w:t>
      </w:r>
    </w:p>
    <w:p w:rsidR="00D23D60" w:rsidRPr="007E52B2" w:rsidRDefault="00D23D60" w:rsidP="00F943AF">
      <w:pPr>
        <w:pStyle w:val="basic-paragraph"/>
        <w:spacing w:before="0" w:beforeAutospacing="0" w:after="0" w:afterAutospacing="0" w:line="216" w:lineRule="auto"/>
        <w:ind w:firstLine="482"/>
        <w:rPr>
          <w:rFonts w:ascii="Arial" w:hAnsi="Arial" w:cs="Arial"/>
          <w:color w:val="000000"/>
          <w:sz w:val="20"/>
          <w:szCs w:val="20"/>
        </w:rPr>
      </w:pPr>
      <w:r w:rsidRPr="007E52B2">
        <w:rPr>
          <w:rFonts w:ascii="Arial" w:hAnsi="Arial" w:cs="Arial"/>
          <w:color w:val="000000"/>
          <w:sz w:val="20"/>
          <w:szCs w:val="20"/>
          <w:lang w:val="en-GB"/>
        </w:rPr>
        <w:t>54. Technical arrangement between the National Frequency Management Authorities of Austria, Croatia, Hungary, Romania, Serbia, The Slovak Republic and Slovenia on border coordination for terrestrial systems capable of providing electronic communications services in the frequency band 790–862 MHz, Budapest, 14 February 2018</w:t>
      </w:r>
    </w:p>
    <w:p w:rsidR="00D23D60" w:rsidRPr="007E52B2" w:rsidRDefault="00D23D60" w:rsidP="00F943AF">
      <w:pPr>
        <w:pStyle w:val="basic-paragraph"/>
        <w:spacing w:before="0" w:beforeAutospacing="0" w:after="0" w:afterAutospacing="0" w:line="216" w:lineRule="auto"/>
        <w:ind w:firstLine="482"/>
        <w:rPr>
          <w:rFonts w:ascii="Arial" w:hAnsi="Arial" w:cs="Arial"/>
          <w:color w:val="000000"/>
          <w:sz w:val="20"/>
          <w:szCs w:val="20"/>
        </w:rPr>
      </w:pPr>
      <w:r w:rsidRPr="007E52B2">
        <w:rPr>
          <w:rFonts w:ascii="Arial" w:hAnsi="Arial" w:cs="Arial"/>
          <w:color w:val="000000"/>
          <w:sz w:val="20"/>
          <w:szCs w:val="20"/>
        </w:rPr>
        <w:t xml:space="preserve">Технички споразум између администрација Аустрије, Хрватске, Мађарске, Румуније, Србије, Словачке Републике и Словеније о координацији у пограничним областима, терестричких система намењених за пружање електронских комуникационих услуга у фреквенцијском опсегу 790–862 MHz, Будимпешта 14. </w:t>
      </w:r>
      <w:proofErr w:type="gramStart"/>
      <w:r w:rsidRPr="007E52B2">
        <w:rPr>
          <w:rFonts w:ascii="Arial" w:hAnsi="Arial" w:cs="Arial"/>
          <w:color w:val="000000"/>
          <w:sz w:val="20"/>
          <w:szCs w:val="20"/>
        </w:rPr>
        <w:t>фебруар</w:t>
      </w:r>
      <w:proofErr w:type="gramEnd"/>
      <w:r w:rsidRPr="007E52B2">
        <w:rPr>
          <w:rFonts w:ascii="Arial" w:hAnsi="Arial" w:cs="Arial"/>
          <w:color w:val="000000"/>
          <w:sz w:val="20"/>
          <w:szCs w:val="20"/>
        </w:rPr>
        <w:t xml:space="preserve"> 2018.</w:t>
      </w:r>
    </w:p>
    <w:p w:rsidR="00D23D60" w:rsidRPr="007E52B2" w:rsidRDefault="00D23D60" w:rsidP="00F943AF">
      <w:pPr>
        <w:pStyle w:val="basic-paragraph"/>
        <w:spacing w:before="0" w:beforeAutospacing="0" w:after="0" w:afterAutospacing="0" w:line="216" w:lineRule="auto"/>
        <w:ind w:firstLine="482"/>
        <w:rPr>
          <w:rFonts w:ascii="Arial" w:hAnsi="Arial" w:cs="Arial"/>
          <w:color w:val="000000"/>
          <w:sz w:val="20"/>
          <w:szCs w:val="20"/>
        </w:rPr>
      </w:pPr>
      <w:r w:rsidRPr="007E52B2">
        <w:rPr>
          <w:rFonts w:ascii="Arial" w:hAnsi="Arial" w:cs="Arial"/>
          <w:color w:val="000000"/>
          <w:sz w:val="20"/>
          <w:szCs w:val="20"/>
          <w:lang w:val="en-GB"/>
        </w:rPr>
        <w:t>55. Technical arrangement between the National Frequency Management Authorities of Croatia, Hungary and Serbia concerning allotment of preferential frequencies and coordination of GSM 1800 systems in the frequency bands 1710–1785/1805–1880 MHz agreed by correspondence in November 2018</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Fonts w:ascii="Arial" w:hAnsi="Arial" w:cs="Arial"/>
          <w:color w:val="000000"/>
          <w:sz w:val="20"/>
          <w:szCs w:val="20"/>
        </w:rPr>
        <w:t>Технички споразум између националних тела за управљање радио-фреквенцијским спектром ХРВАТСКЕ, МАЂАРСКЕ И СРБИЈЕ који се односи на расподелу преферентних фреквенција и координацију GSM 1800 система у фреквенцијским опсезима 1710–1785/1805–1880 MHz, усаглашен путем кореспонденције, новембар 2018.</w:t>
      </w:r>
    </w:p>
    <w:p w:rsidR="00D23D60" w:rsidRPr="007E52B2" w:rsidRDefault="00D23D60" w:rsidP="00D23D60">
      <w:pPr>
        <w:pStyle w:val="basic-paragraph"/>
        <w:spacing w:before="0" w:beforeAutospacing="0" w:after="0" w:afterAutospacing="0"/>
        <w:ind w:firstLine="480"/>
        <w:rPr>
          <w:rFonts w:ascii="Arial" w:hAnsi="Arial" w:cs="Arial"/>
          <w:color w:val="000000"/>
          <w:sz w:val="20"/>
          <w:szCs w:val="20"/>
        </w:rPr>
      </w:pPr>
      <w:r w:rsidRPr="007E52B2">
        <w:rPr>
          <w:rFonts w:ascii="Arial" w:hAnsi="Arial" w:cs="Arial"/>
          <w:color w:val="000000"/>
          <w:sz w:val="20"/>
          <w:szCs w:val="20"/>
          <w:lang w:val="en-GB"/>
        </w:rPr>
        <w:lastRenderedPageBreak/>
        <w:t>56. Technical agreement between the National Frequency Management Authorities of Bosnia and Herzegovina, Republic of North Macedonia, Montenegro and Republic of Serbia on border coordination of mobile/fixed communications networks (MFCN) in the frequency bands 1920–1980 MHz and 2110–2170 MHz, Budva, September 2019</w:t>
      </w:r>
    </w:p>
    <w:p w:rsidR="00D23D60" w:rsidRPr="007E52B2" w:rsidRDefault="00D23D60" w:rsidP="00F943AF">
      <w:pPr>
        <w:pStyle w:val="basic-paragraph"/>
        <w:spacing w:before="0" w:beforeAutospacing="0" w:after="0" w:afterAutospacing="0" w:line="216" w:lineRule="auto"/>
        <w:ind w:firstLine="482"/>
        <w:rPr>
          <w:rFonts w:ascii="Arial" w:hAnsi="Arial" w:cs="Arial"/>
          <w:color w:val="000000"/>
          <w:sz w:val="20"/>
          <w:szCs w:val="20"/>
        </w:rPr>
      </w:pPr>
      <w:r w:rsidRPr="007E52B2">
        <w:rPr>
          <w:rFonts w:ascii="Arial" w:hAnsi="Arial" w:cs="Arial"/>
          <w:color w:val="000000"/>
          <w:sz w:val="20"/>
          <w:szCs w:val="20"/>
        </w:rPr>
        <w:t>Технички споразум између Босне и Херцеговине, Републике Северне Македоније, Црне Горе и Републике Србије о граничној координацији MFCN мрежа у фреквенцијским опсезима 1920–1980 MHz и 2110–2170 MHz, Будва, септембар 2019.</w:t>
      </w:r>
    </w:p>
    <w:p w:rsidR="00D23D60" w:rsidRPr="007E52B2" w:rsidRDefault="00D23D60" w:rsidP="00F943AF">
      <w:pPr>
        <w:pStyle w:val="basic-paragraph"/>
        <w:spacing w:before="0" w:beforeAutospacing="0" w:after="0" w:afterAutospacing="0" w:line="216" w:lineRule="auto"/>
        <w:ind w:firstLine="482"/>
        <w:rPr>
          <w:rFonts w:ascii="Arial" w:hAnsi="Arial" w:cs="Arial"/>
          <w:color w:val="000000"/>
          <w:sz w:val="20"/>
          <w:szCs w:val="20"/>
        </w:rPr>
      </w:pPr>
      <w:r w:rsidRPr="007E52B2">
        <w:rPr>
          <w:rFonts w:ascii="Arial" w:hAnsi="Arial" w:cs="Arial"/>
          <w:color w:val="000000"/>
          <w:sz w:val="20"/>
          <w:szCs w:val="20"/>
          <w:lang w:val="en-GB"/>
        </w:rPr>
        <w:t>57. Technical agreement between the National Frequency Management Authorities of Bosnia and Herzegovina, Republic of North Macedonia, Montenegro and Republic of Serbia on border coordination of mobile/fixed communications networks (MFCN) in the frequency bands 1710–1785 MHz and 1805–1880 MHz, Budva, September 2019</w:t>
      </w:r>
    </w:p>
    <w:p w:rsidR="00D23D60" w:rsidRPr="007E52B2" w:rsidRDefault="00D23D60" w:rsidP="00F943AF">
      <w:pPr>
        <w:pStyle w:val="basic-paragraph"/>
        <w:spacing w:before="0" w:beforeAutospacing="0" w:after="0" w:afterAutospacing="0" w:line="216" w:lineRule="auto"/>
        <w:ind w:firstLine="482"/>
        <w:rPr>
          <w:rFonts w:ascii="Arial" w:hAnsi="Arial" w:cs="Arial"/>
          <w:color w:val="000000"/>
          <w:sz w:val="20"/>
          <w:szCs w:val="20"/>
        </w:rPr>
      </w:pPr>
      <w:r w:rsidRPr="007E52B2">
        <w:rPr>
          <w:rFonts w:ascii="Arial" w:hAnsi="Arial" w:cs="Arial"/>
          <w:color w:val="000000"/>
          <w:sz w:val="20"/>
          <w:szCs w:val="20"/>
        </w:rPr>
        <w:t>Технички споразум између Босне и Херцеговине, Републике Северне Македоније, Црне Горе и Републике Србије о граничној координацији MFCN мрежа у фреквенцијским опсезима 1710–1785MHz и 1805–1880 MHz, Будва, септембар 2019.</w:t>
      </w:r>
    </w:p>
    <w:p w:rsidR="00D23D60" w:rsidRPr="007E52B2" w:rsidRDefault="00D23D60" w:rsidP="00F943AF">
      <w:pPr>
        <w:pStyle w:val="basic-paragraph"/>
        <w:spacing w:before="0" w:beforeAutospacing="0" w:after="0" w:afterAutospacing="0" w:line="216" w:lineRule="auto"/>
        <w:ind w:firstLine="482"/>
        <w:rPr>
          <w:rFonts w:ascii="Arial" w:hAnsi="Arial" w:cs="Arial"/>
          <w:color w:val="000000"/>
          <w:sz w:val="20"/>
          <w:szCs w:val="20"/>
        </w:rPr>
      </w:pPr>
      <w:r w:rsidRPr="007E52B2">
        <w:rPr>
          <w:rFonts w:ascii="Arial" w:hAnsi="Arial" w:cs="Arial"/>
          <w:color w:val="000000"/>
          <w:sz w:val="20"/>
          <w:szCs w:val="20"/>
          <w:lang w:val="en-GB"/>
        </w:rPr>
        <w:t>58. Technical agreement between the National Frequency Management Authorities of Bosnia and Herzegovina, Republic of North Macedonia, Montenegro and Republic of Serbia on border coordination of mobile/fixed communications networks (MFCN) in the frequency bands 880–915 MHz and 925–960 MHz, Budva, September 2019</w:t>
      </w:r>
    </w:p>
    <w:p w:rsidR="00D23D60" w:rsidRPr="007E52B2" w:rsidRDefault="00D23D60" w:rsidP="00F943AF">
      <w:pPr>
        <w:pStyle w:val="basic-paragraph"/>
        <w:spacing w:before="0" w:beforeAutospacing="0" w:after="0" w:afterAutospacing="0" w:line="216" w:lineRule="auto"/>
        <w:ind w:firstLine="482"/>
        <w:rPr>
          <w:rFonts w:ascii="Arial" w:hAnsi="Arial" w:cs="Arial"/>
          <w:color w:val="000000"/>
          <w:sz w:val="20"/>
          <w:szCs w:val="20"/>
        </w:rPr>
      </w:pPr>
      <w:r w:rsidRPr="007E52B2">
        <w:rPr>
          <w:rFonts w:ascii="Arial" w:hAnsi="Arial" w:cs="Arial"/>
          <w:color w:val="000000"/>
          <w:sz w:val="20"/>
          <w:szCs w:val="20"/>
        </w:rPr>
        <w:t>Технички споразум између Босне и Херцеговине, Републике Северне Македоније, Црне Горе и Републике Србије о граничној координацији MFCN мрежа у фреквенцијским опсезима 880–915 MHz и 925–960 MHz, Будва, септембар 2019.</w:t>
      </w:r>
    </w:p>
    <w:p w:rsidR="00D23D60" w:rsidRPr="007E52B2" w:rsidRDefault="00D23D60" w:rsidP="00F943AF">
      <w:pPr>
        <w:pStyle w:val="basic-paragraph"/>
        <w:spacing w:before="0" w:beforeAutospacing="0" w:after="0" w:afterAutospacing="0" w:line="216" w:lineRule="auto"/>
        <w:ind w:firstLine="482"/>
        <w:rPr>
          <w:rFonts w:ascii="Arial" w:hAnsi="Arial" w:cs="Arial"/>
          <w:color w:val="000000"/>
          <w:sz w:val="20"/>
          <w:szCs w:val="20"/>
        </w:rPr>
      </w:pPr>
      <w:r w:rsidRPr="007E52B2">
        <w:rPr>
          <w:rFonts w:ascii="Arial" w:hAnsi="Arial" w:cs="Arial"/>
          <w:color w:val="000000"/>
          <w:sz w:val="20"/>
          <w:szCs w:val="20"/>
          <w:lang w:val="en-GB"/>
        </w:rPr>
        <w:t>59. Technical agreement between the National Frequency Management Authorities of Bosnia and Herzegovina, Republic of North Macedonia, Montenegro and Republic of Serbia on border coordination of mobile/fixed communications networks (MFCN) in the frequency bands 791–821 MHz and 832–862 MHz, Budva, September 2019</w:t>
      </w:r>
    </w:p>
    <w:p w:rsidR="00D23D60" w:rsidRPr="007E52B2" w:rsidRDefault="00D23D60" w:rsidP="00F943AF">
      <w:pPr>
        <w:pStyle w:val="basic-paragraph"/>
        <w:spacing w:before="0" w:beforeAutospacing="0" w:after="0" w:afterAutospacing="0" w:line="216" w:lineRule="auto"/>
        <w:ind w:firstLine="482"/>
        <w:rPr>
          <w:rFonts w:ascii="Arial" w:hAnsi="Arial" w:cs="Arial"/>
          <w:color w:val="000000"/>
          <w:sz w:val="20"/>
          <w:szCs w:val="20"/>
        </w:rPr>
      </w:pPr>
      <w:r w:rsidRPr="007E52B2">
        <w:rPr>
          <w:rFonts w:ascii="Arial" w:hAnsi="Arial" w:cs="Arial"/>
          <w:color w:val="000000"/>
          <w:sz w:val="20"/>
          <w:szCs w:val="20"/>
        </w:rPr>
        <w:t>Технички споразум између Босне и Херцеговине, Републике Северне Македоније, Црне Горе и Републике Србије о граничној координацији MFCN мрежа у фреквенцијским опсезима 791–821 MHz и 832–862 MHz, Будва, септембар 2019.</w:t>
      </w:r>
    </w:p>
    <w:p w:rsidR="00D23D60" w:rsidRPr="007E52B2" w:rsidRDefault="00D23D60" w:rsidP="00F943AF">
      <w:pPr>
        <w:pStyle w:val="basic-paragraph"/>
        <w:spacing w:before="0" w:beforeAutospacing="0" w:after="0" w:afterAutospacing="0" w:line="216" w:lineRule="auto"/>
        <w:ind w:firstLine="482"/>
        <w:rPr>
          <w:rFonts w:ascii="Arial" w:hAnsi="Arial" w:cs="Arial"/>
          <w:color w:val="000000"/>
          <w:sz w:val="20"/>
          <w:szCs w:val="20"/>
        </w:rPr>
      </w:pPr>
      <w:r w:rsidRPr="007E52B2">
        <w:rPr>
          <w:rFonts w:ascii="Arial" w:hAnsi="Arial" w:cs="Arial"/>
          <w:color w:val="000000"/>
          <w:sz w:val="20"/>
          <w:szCs w:val="20"/>
          <w:lang w:val="en-GB"/>
        </w:rPr>
        <w:t>60. Technical arrangement between the National Frequency Management Authorities of Croatia, Hungary and Serbia on the frequency coordination in the frequency bands 876–880/921–925 MHz (GSM-R core band) agreed by correspondence in May 2022</w:t>
      </w:r>
    </w:p>
    <w:p w:rsidR="00D23D60" w:rsidRPr="007E52B2" w:rsidRDefault="00D23D60" w:rsidP="009E17AD">
      <w:pPr>
        <w:pStyle w:val="basic-paragraph"/>
        <w:spacing w:before="0" w:beforeAutospacing="0" w:after="0" w:afterAutospacing="0"/>
        <w:ind w:firstLine="482"/>
        <w:rPr>
          <w:rFonts w:ascii="Arial" w:hAnsi="Arial" w:cs="Arial"/>
          <w:color w:val="000000"/>
          <w:sz w:val="20"/>
          <w:szCs w:val="20"/>
        </w:rPr>
      </w:pPr>
      <w:r w:rsidRPr="007E52B2">
        <w:rPr>
          <w:rFonts w:ascii="Arial" w:hAnsi="Arial" w:cs="Arial"/>
          <w:color w:val="000000"/>
          <w:sz w:val="20"/>
          <w:szCs w:val="20"/>
        </w:rPr>
        <w:t xml:space="preserve">Технички споразум о </w:t>
      </w:r>
      <w:bookmarkStart w:id="1" w:name="_GoBack"/>
      <w:r w:rsidRPr="007E52B2">
        <w:rPr>
          <w:rFonts w:ascii="Arial" w:hAnsi="Arial" w:cs="Arial"/>
          <w:color w:val="000000"/>
          <w:sz w:val="20"/>
          <w:szCs w:val="20"/>
        </w:rPr>
        <w:t>координацији фреквенција у основном GSM-R опсегу 876–880/921–925 MHz између администрација Хрватске, Мађарске и Србије o координацији фреквенција у фреквенцијским опсезима 876–880/921–925 MHz (GSM-R core band), усаглашен путем кореспонденције, мај 2022.</w:t>
      </w:r>
    </w:p>
    <w:p w:rsidR="00D23D60" w:rsidRPr="007E52B2" w:rsidRDefault="00D23D60" w:rsidP="009E17AD">
      <w:pPr>
        <w:pStyle w:val="basic-paragraph"/>
        <w:spacing w:before="0" w:beforeAutospacing="0" w:after="0" w:afterAutospacing="0"/>
        <w:ind w:firstLine="482"/>
        <w:rPr>
          <w:rFonts w:ascii="Arial" w:hAnsi="Arial" w:cs="Arial"/>
          <w:color w:val="000000"/>
          <w:sz w:val="20"/>
          <w:szCs w:val="20"/>
        </w:rPr>
      </w:pPr>
      <w:r w:rsidRPr="007E52B2">
        <w:rPr>
          <w:rFonts w:ascii="Arial" w:hAnsi="Arial" w:cs="Arial"/>
          <w:color w:val="000000"/>
          <w:sz w:val="20"/>
          <w:szCs w:val="20"/>
          <w:lang w:val="en-GB"/>
        </w:rPr>
        <w:t>61. Technical agreement between the National Frequency Management Authorities of Bosnia and Herzegovina, Croatia, Montenegro and Serbia on border coordination of mobile/fixed communications networks (MFCN) and broadband public protection and disaster relief (BB-PPDR) systems within the frequency range 698–791 MHz, Zagreb, May 2022</w:t>
      </w:r>
    </w:p>
    <w:p w:rsidR="00D23D60" w:rsidRPr="007E52B2" w:rsidRDefault="00D23D60" w:rsidP="009E17AD">
      <w:pPr>
        <w:pStyle w:val="basic-paragraph"/>
        <w:spacing w:before="0" w:beforeAutospacing="0" w:after="0" w:afterAutospacing="0"/>
        <w:ind w:firstLine="482"/>
        <w:rPr>
          <w:rFonts w:ascii="Arial" w:hAnsi="Arial" w:cs="Arial"/>
          <w:color w:val="000000"/>
          <w:sz w:val="20"/>
          <w:szCs w:val="20"/>
        </w:rPr>
      </w:pPr>
      <w:r w:rsidRPr="007E52B2">
        <w:rPr>
          <w:rFonts w:ascii="Arial" w:hAnsi="Arial" w:cs="Arial"/>
          <w:color w:val="000000"/>
          <w:sz w:val="20"/>
          <w:szCs w:val="20"/>
        </w:rPr>
        <w:t>Технички споразуми о координацији радио фреквенција за MFCN и BB-PPDR системе између администрација Босне и Херцеговине, Хрватске, Црне Горе и Србије, унутар фреквенцијског опега 698–791 MHz, Загреб, мај 2022.</w:t>
      </w:r>
    </w:p>
    <w:p w:rsidR="00D23D60" w:rsidRPr="007E52B2" w:rsidRDefault="00D23D60" w:rsidP="009E17AD">
      <w:pPr>
        <w:pStyle w:val="basic-paragraph"/>
        <w:spacing w:before="0" w:beforeAutospacing="0" w:after="0" w:afterAutospacing="0"/>
        <w:ind w:firstLine="482"/>
        <w:rPr>
          <w:rFonts w:ascii="Arial" w:hAnsi="Arial" w:cs="Arial"/>
          <w:color w:val="000000"/>
          <w:sz w:val="20"/>
          <w:szCs w:val="20"/>
        </w:rPr>
      </w:pPr>
      <w:r w:rsidRPr="007E52B2">
        <w:rPr>
          <w:rFonts w:ascii="Arial" w:hAnsi="Arial" w:cs="Arial"/>
          <w:color w:val="000000"/>
          <w:sz w:val="20"/>
          <w:szCs w:val="20"/>
          <w:lang w:val="en-GB"/>
        </w:rPr>
        <w:t>62. Regional Arrangement on the Radiocommunication Service for Inland Waterways, Bucuresti, 2012.</w:t>
      </w:r>
    </w:p>
    <w:p w:rsidR="00D23D60" w:rsidRPr="007E52B2" w:rsidRDefault="00D23D60" w:rsidP="009E17AD">
      <w:pPr>
        <w:pStyle w:val="basic-paragraph"/>
        <w:spacing w:before="0" w:beforeAutospacing="0" w:after="0" w:afterAutospacing="0"/>
        <w:ind w:firstLine="482"/>
        <w:rPr>
          <w:rFonts w:ascii="Arial" w:hAnsi="Arial" w:cs="Arial"/>
          <w:color w:val="000000"/>
          <w:sz w:val="20"/>
          <w:szCs w:val="20"/>
        </w:rPr>
      </w:pPr>
      <w:proofErr w:type="gramStart"/>
      <w:r w:rsidRPr="007E52B2">
        <w:rPr>
          <w:rFonts w:ascii="Arial" w:hAnsi="Arial" w:cs="Arial"/>
          <w:color w:val="000000"/>
          <w:sz w:val="20"/>
          <w:szCs w:val="20"/>
        </w:rPr>
        <w:t>Регионални договор о радиокомуникацијској служби на унутрашњим пловним путевима, Букурешт, 2012.</w:t>
      </w:r>
      <w:proofErr w:type="gramEnd"/>
    </w:p>
    <w:p w:rsidR="00D23D60" w:rsidRPr="007E52B2" w:rsidRDefault="00D23D60" w:rsidP="009E17AD">
      <w:pPr>
        <w:pStyle w:val="basic-paragraph"/>
        <w:spacing w:before="0" w:beforeAutospacing="0" w:after="0" w:afterAutospacing="0"/>
        <w:ind w:firstLine="482"/>
        <w:rPr>
          <w:rFonts w:ascii="Arial" w:hAnsi="Arial" w:cs="Arial"/>
          <w:color w:val="000000"/>
          <w:sz w:val="20"/>
          <w:szCs w:val="20"/>
        </w:rPr>
      </w:pPr>
      <w:r w:rsidRPr="007E52B2">
        <w:rPr>
          <w:rFonts w:ascii="Arial" w:hAnsi="Arial" w:cs="Arial"/>
          <w:color w:val="000000"/>
          <w:sz w:val="20"/>
          <w:szCs w:val="20"/>
        </w:rPr>
        <w:t>63. Annex 10 to the Convention on International Civil Aviation</w:t>
      </w:r>
    </w:p>
    <w:p w:rsidR="00D23D60" w:rsidRPr="007E52B2" w:rsidRDefault="00D23D60" w:rsidP="009E17AD">
      <w:pPr>
        <w:pStyle w:val="basic-paragraph"/>
        <w:spacing w:before="0" w:beforeAutospacing="0" w:after="0" w:afterAutospacing="0"/>
        <w:ind w:firstLine="482"/>
        <w:rPr>
          <w:rFonts w:ascii="Arial" w:hAnsi="Arial" w:cs="Arial"/>
          <w:color w:val="000000"/>
          <w:sz w:val="20"/>
          <w:szCs w:val="20"/>
        </w:rPr>
      </w:pPr>
      <w:r w:rsidRPr="007E52B2">
        <w:rPr>
          <w:rFonts w:ascii="Arial" w:hAnsi="Arial" w:cs="Arial"/>
          <w:color w:val="000000"/>
          <w:sz w:val="20"/>
          <w:szCs w:val="20"/>
        </w:rPr>
        <w:t>Додатак 10 Конвенције Међународне организације цивилног ваздухопловства</w:t>
      </w:r>
    </w:p>
    <w:p w:rsidR="00D23D60" w:rsidRPr="007E52B2" w:rsidRDefault="00D23D60" w:rsidP="009E17AD">
      <w:pPr>
        <w:pStyle w:val="basic-paragraph"/>
        <w:spacing w:before="0" w:beforeAutospacing="0" w:after="0" w:afterAutospacing="0"/>
        <w:ind w:firstLine="482"/>
        <w:rPr>
          <w:rFonts w:ascii="Arial" w:hAnsi="Arial" w:cs="Arial"/>
          <w:color w:val="000000"/>
          <w:sz w:val="20"/>
          <w:szCs w:val="20"/>
        </w:rPr>
      </w:pPr>
      <w:r w:rsidRPr="007E52B2">
        <w:rPr>
          <w:rFonts w:ascii="Arial" w:hAnsi="Arial" w:cs="Arial"/>
          <w:color w:val="000000"/>
          <w:sz w:val="20"/>
          <w:szCs w:val="20"/>
        </w:rPr>
        <w:t>64. EUR Doc 011–ICAO European frequency management manual for Aeronautical Mobile and Aeronautical Radio Navigation services</w:t>
      </w:r>
    </w:p>
    <w:p w:rsidR="00D23D60" w:rsidRPr="007E52B2" w:rsidRDefault="00D23D60" w:rsidP="009E17AD">
      <w:pPr>
        <w:pStyle w:val="basic-paragraph"/>
        <w:spacing w:before="0" w:beforeAutospacing="0" w:after="0" w:afterAutospacing="0"/>
        <w:ind w:firstLine="482"/>
        <w:rPr>
          <w:rFonts w:ascii="Arial" w:hAnsi="Arial" w:cs="Arial"/>
          <w:color w:val="000000"/>
          <w:sz w:val="20"/>
          <w:szCs w:val="20"/>
        </w:rPr>
      </w:pPr>
      <w:proofErr w:type="gramStart"/>
      <w:r w:rsidRPr="007E52B2">
        <w:rPr>
          <w:rFonts w:ascii="Arial" w:hAnsi="Arial" w:cs="Arial"/>
          <w:color w:val="000000"/>
          <w:sz w:val="20"/>
          <w:szCs w:val="20"/>
        </w:rPr>
        <w:t>Упутство за управљање фреквенцијама на теритарији Европе у оквиру Међународне организације цивилног ваэдухопловства (ICAO) за ваздухопловну фиксну службу, ваздухопловну мобилну службу и ваздухопловну радионавигацијску службу.</w:t>
      </w:r>
      <w:proofErr w:type="gramEnd"/>
    </w:p>
    <w:p w:rsidR="00D23D60" w:rsidRPr="007E52B2" w:rsidRDefault="00D23D60" w:rsidP="009E17AD">
      <w:pPr>
        <w:pStyle w:val="basic-paragraph"/>
        <w:spacing w:before="0" w:beforeAutospacing="0" w:after="0" w:afterAutospacing="0"/>
        <w:ind w:firstLine="482"/>
        <w:rPr>
          <w:rFonts w:ascii="Arial" w:hAnsi="Arial" w:cs="Arial"/>
          <w:color w:val="000000"/>
          <w:sz w:val="20"/>
          <w:szCs w:val="20"/>
        </w:rPr>
      </w:pPr>
      <w:r w:rsidRPr="007E52B2">
        <w:rPr>
          <w:rFonts w:ascii="Arial" w:hAnsi="Arial" w:cs="Arial"/>
          <w:color w:val="000000"/>
          <w:sz w:val="20"/>
          <w:szCs w:val="20"/>
          <w:lang w:val="en-GB"/>
        </w:rPr>
        <w:t xml:space="preserve">65. MULTILATERAL FRAMEWORK </w:t>
      </w:r>
      <w:bookmarkEnd w:id="1"/>
      <w:r w:rsidRPr="007E52B2">
        <w:rPr>
          <w:rFonts w:ascii="Arial" w:hAnsi="Arial" w:cs="Arial"/>
          <w:color w:val="000000"/>
          <w:sz w:val="20"/>
          <w:szCs w:val="20"/>
          <w:lang w:val="en-GB"/>
        </w:rPr>
        <w:t>AGREEMENT BETWEEN THE ADMINISTRATIONS OF AUSTRIA, BOSNIA AND HERZEGOVINA, CROATIA, HUNGARY, ROMANIA, SERBIA, SLOVENIA on the frequency plan of VHF Band III, covering the frequency range of 174–230 MHz, Budapest, June 2023</w:t>
      </w:r>
    </w:p>
    <w:p w:rsidR="00D23D60" w:rsidRPr="007E52B2" w:rsidRDefault="00D23D60" w:rsidP="00F943AF">
      <w:pPr>
        <w:pStyle w:val="basic-paragraph"/>
        <w:spacing w:before="0" w:beforeAutospacing="0" w:after="0" w:afterAutospacing="0" w:line="216" w:lineRule="auto"/>
        <w:ind w:firstLine="482"/>
        <w:rPr>
          <w:rFonts w:ascii="Arial" w:hAnsi="Arial" w:cs="Arial"/>
          <w:color w:val="000000"/>
          <w:sz w:val="20"/>
          <w:szCs w:val="20"/>
        </w:rPr>
      </w:pPr>
      <w:r w:rsidRPr="007E52B2">
        <w:rPr>
          <w:rFonts w:ascii="Arial" w:hAnsi="Arial" w:cs="Arial"/>
          <w:color w:val="000000"/>
          <w:sz w:val="20"/>
          <w:szCs w:val="20"/>
          <w:lang w:val="en-GB"/>
        </w:rPr>
        <w:t>66. Agreement on the new T-DAB frequency plan in the frequency band 174–230 MHz between the Administration of Serbia and the Administration of Austria, Budapest, June 2023</w:t>
      </w:r>
    </w:p>
    <w:p w:rsidR="00D23D60" w:rsidRPr="007E52B2" w:rsidRDefault="00D23D60" w:rsidP="00F943AF">
      <w:pPr>
        <w:pStyle w:val="basic-paragraph"/>
        <w:spacing w:before="0" w:beforeAutospacing="0" w:after="0" w:afterAutospacing="0" w:line="216" w:lineRule="auto"/>
        <w:ind w:firstLine="482"/>
        <w:rPr>
          <w:rFonts w:ascii="Arial" w:hAnsi="Arial" w:cs="Arial"/>
          <w:color w:val="000000"/>
          <w:sz w:val="20"/>
          <w:szCs w:val="20"/>
        </w:rPr>
      </w:pPr>
      <w:r w:rsidRPr="007E52B2">
        <w:rPr>
          <w:rFonts w:ascii="Arial" w:hAnsi="Arial" w:cs="Arial"/>
          <w:color w:val="000000"/>
          <w:sz w:val="20"/>
          <w:szCs w:val="20"/>
          <w:lang w:val="en-GB"/>
        </w:rPr>
        <w:t>67. Agreement on the new T-DAB frequency plan in the frequency band 174–230 MHz between Administration of Bosnia and Herzegovina and Administration of Serbia, Budapest, June 2023</w:t>
      </w:r>
    </w:p>
    <w:p w:rsidR="00D23D60" w:rsidRPr="007E52B2" w:rsidRDefault="00D23D60" w:rsidP="00F943AF">
      <w:pPr>
        <w:pStyle w:val="basic-paragraph"/>
        <w:spacing w:before="0" w:beforeAutospacing="0" w:after="0" w:afterAutospacing="0" w:line="216" w:lineRule="auto"/>
        <w:ind w:firstLine="482"/>
        <w:rPr>
          <w:rFonts w:ascii="Arial" w:hAnsi="Arial" w:cs="Arial"/>
          <w:color w:val="000000"/>
          <w:sz w:val="20"/>
          <w:szCs w:val="20"/>
        </w:rPr>
      </w:pPr>
      <w:r w:rsidRPr="007E52B2">
        <w:rPr>
          <w:rFonts w:ascii="Arial" w:hAnsi="Arial" w:cs="Arial"/>
          <w:color w:val="000000"/>
          <w:sz w:val="20"/>
          <w:szCs w:val="20"/>
          <w:lang w:val="en-GB"/>
        </w:rPr>
        <w:t>68. Agreement on the new T-DAB frequency plan in the frequency band 174–230 MHz between Administration of Hungary and Administration of Serbia, Budapest, June 202</w:t>
      </w:r>
    </w:p>
    <w:p w:rsidR="00D23D60" w:rsidRPr="007E52B2" w:rsidRDefault="00D23D60" w:rsidP="00F943AF">
      <w:pPr>
        <w:pStyle w:val="basic-paragraph"/>
        <w:spacing w:before="0" w:beforeAutospacing="0" w:after="0" w:afterAutospacing="0" w:line="216" w:lineRule="auto"/>
        <w:ind w:firstLine="482"/>
        <w:rPr>
          <w:rFonts w:ascii="Arial" w:hAnsi="Arial" w:cs="Arial"/>
          <w:color w:val="000000"/>
          <w:sz w:val="20"/>
          <w:szCs w:val="20"/>
        </w:rPr>
      </w:pPr>
      <w:r w:rsidRPr="007E52B2">
        <w:rPr>
          <w:rFonts w:ascii="Arial" w:hAnsi="Arial" w:cs="Arial"/>
          <w:color w:val="000000"/>
          <w:sz w:val="20"/>
          <w:szCs w:val="20"/>
          <w:lang w:val="en-GB"/>
        </w:rPr>
        <w:t>69. Agreement on the new T-DAB frequency plan in the frequency band 174–230 MHz between Administration of Croatia and Administration of Serbia, Budapest, June 2023</w:t>
      </w:r>
    </w:p>
    <w:p w:rsidR="00D23D60" w:rsidRPr="007E52B2" w:rsidRDefault="00D23D60" w:rsidP="00F943AF">
      <w:pPr>
        <w:pStyle w:val="basic-paragraph"/>
        <w:spacing w:before="0" w:beforeAutospacing="0" w:after="0" w:afterAutospacing="0" w:line="216" w:lineRule="auto"/>
        <w:ind w:firstLine="482"/>
        <w:rPr>
          <w:rFonts w:ascii="Arial" w:hAnsi="Arial" w:cs="Arial"/>
          <w:color w:val="000000"/>
          <w:sz w:val="20"/>
          <w:szCs w:val="20"/>
        </w:rPr>
      </w:pPr>
      <w:r w:rsidRPr="007E52B2">
        <w:rPr>
          <w:rFonts w:ascii="Arial" w:hAnsi="Arial" w:cs="Arial"/>
          <w:color w:val="000000"/>
          <w:sz w:val="20"/>
          <w:szCs w:val="20"/>
          <w:lang w:val="en-GB"/>
        </w:rPr>
        <w:t>70. Agreement on the new T-DAB frequency plan in the frequency band 174–230 MHz between Administration of Romania and Administration of Serbia, Budapest, June 2023</w:t>
      </w:r>
    </w:p>
    <w:p w:rsidR="00855F57" w:rsidRDefault="00D23D60" w:rsidP="00F943AF">
      <w:pPr>
        <w:pStyle w:val="basic-paragraph"/>
        <w:spacing w:before="0" w:beforeAutospacing="0" w:after="0" w:afterAutospacing="0"/>
        <w:ind w:firstLine="480"/>
        <w:rPr>
          <w:rFonts w:ascii="Arial" w:hAnsi="Arial" w:cs="Arial"/>
          <w:color w:val="000000"/>
          <w:sz w:val="20"/>
          <w:szCs w:val="20"/>
          <w:lang w:val="sr-Cyrl-RS"/>
        </w:rPr>
      </w:pPr>
      <w:r w:rsidRPr="007E52B2">
        <w:rPr>
          <w:rFonts w:ascii="Arial" w:hAnsi="Arial" w:cs="Arial"/>
          <w:color w:val="000000"/>
          <w:sz w:val="20"/>
          <w:szCs w:val="20"/>
          <w:lang w:val="en-GB"/>
        </w:rPr>
        <w:t>71. Agreement on the new T-DAB frequency plan in the frequency band 174–230 MHz between Administration of Slovenia and Administration of Serbia, Budapest, June 2023</w:t>
      </w:r>
    </w:p>
    <w:p w:rsidR="009E17AD" w:rsidRPr="009E17AD" w:rsidRDefault="009E17AD" w:rsidP="00F943AF">
      <w:pPr>
        <w:pStyle w:val="basic-paragraph"/>
        <w:spacing w:before="0" w:beforeAutospacing="0" w:after="0" w:afterAutospacing="0"/>
        <w:ind w:firstLine="480"/>
        <w:rPr>
          <w:rFonts w:ascii="Arial" w:hAnsi="Arial" w:cs="Arial"/>
          <w:color w:val="000000"/>
          <w:sz w:val="20"/>
          <w:szCs w:val="20"/>
          <w:lang w:val="sr-Cyrl-RS"/>
        </w:rPr>
      </w:pPr>
    </w:p>
    <w:p w:rsidR="00D23D60" w:rsidRPr="007E52B2" w:rsidRDefault="00D23D60" w:rsidP="00D23D60">
      <w:pPr>
        <w:pStyle w:val="Normal1"/>
        <w:rPr>
          <w:sz w:val="20"/>
          <w:szCs w:val="20"/>
          <w:lang w:val="sr-Cyrl-RS"/>
        </w:rPr>
      </w:pPr>
      <w:r w:rsidRPr="007E52B2">
        <w:rPr>
          <w:sz w:val="20"/>
          <w:szCs w:val="20"/>
        </w:rPr>
        <w:lastRenderedPageBreak/>
        <w:t xml:space="preserve">Табела 1 – </w:t>
      </w:r>
      <w:r w:rsidRPr="007E52B2">
        <w:rPr>
          <w:sz w:val="20"/>
          <w:szCs w:val="20"/>
          <w:lang w:val="sr-Cyrl-RS"/>
        </w:rPr>
        <w:t>Намена радиофреквенцијских опсега</w:t>
      </w: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404759AB" wp14:editId="0C47C945">
            <wp:extent cx="9105900" cy="5598468"/>
            <wp:effectExtent l="0" t="0" r="0" b="2540"/>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0" cstate="print"/>
                    <a:stretch>
                      <a:fillRect/>
                    </a:stretch>
                  </pic:blipFill>
                  <pic:spPr>
                    <a:xfrm>
                      <a:off x="0" y="0"/>
                      <a:ext cx="9105900" cy="5598468"/>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type w:val="continuous"/>
          <w:pgSz w:w="15690" w:h="12480" w:orient="landscape"/>
          <w:pgMar w:top="98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5B6828AF" wp14:editId="45ED9AD0">
            <wp:extent cx="9107989" cy="6024753"/>
            <wp:effectExtent l="0" t="0" r="0" b="0"/>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1" cstate="print"/>
                    <a:stretch>
                      <a:fillRect/>
                    </a:stretch>
                  </pic:blipFill>
                  <pic:spPr>
                    <a:xfrm>
                      <a:off x="0" y="0"/>
                      <a:ext cx="9107989" cy="6024753"/>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47590437" wp14:editId="3D0385FA">
            <wp:extent cx="9107986" cy="6060757"/>
            <wp:effectExtent l="0" t="0" r="0" b="0"/>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2" cstate="print"/>
                    <a:stretch>
                      <a:fillRect/>
                    </a:stretch>
                  </pic:blipFill>
                  <pic:spPr>
                    <a:xfrm>
                      <a:off x="0" y="0"/>
                      <a:ext cx="9107986" cy="6060757"/>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4B37930C" wp14:editId="2E111B49">
            <wp:extent cx="9107989" cy="6120765"/>
            <wp:effectExtent l="0" t="0" r="0" b="0"/>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13" cstate="print"/>
                    <a:stretch>
                      <a:fillRect/>
                    </a:stretch>
                  </pic:blipFill>
                  <pic:spPr>
                    <a:xfrm>
                      <a:off x="0" y="0"/>
                      <a:ext cx="9107989" cy="6120765"/>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615096E2" wp14:editId="6BB9545C">
            <wp:extent cx="9107986" cy="6072759"/>
            <wp:effectExtent l="0" t="0" r="0" b="0"/>
            <wp:docPr id="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14" cstate="print"/>
                    <a:stretch>
                      <a:fillRect/>
                    </a:stretch>
                  </pic:blipFill>
                  <pic:spPr>
                    <a:xfrm>
                      <a:off x="0" y="0"/>
                      <a:ext cx="9107986" cy="6072759"/>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3FE63BB7" wp14:editId="7E8DC3B4">
            <wp:extent cx="9107989" cy="6060757"/>
            <wp:effectExtent l="0" t="0" r="0" b="0"/>
            <wp:docPr id="1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15" cstate="print"/>
                    <a:stretch>
                      <a:fillRect/>
                    </a:stretch>
                  </pic:blipFill>
                  <pic:spPr>
                    <a:xfrm>
                      <a:off x="0" y="0"/>
                      <a:ext cx="9107989" cy="6060757"/>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1F99C3A2" wp14:editId="68F2DF69">
            <wp:extent cx="9107986" cy="6108763"/>
            <wp:effectExtent l="0" t="0" r="0" b="0"/>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16" cstate="print"/>
                    <a:stretch>
                      <a:fillRect/>
                    </a:stretch>
                  </pic:blipFill>
                  <pic:spPr>
                    <a:xfrm>
                      <a:off x="0" y="0"/>
                      <a:ext cx="9107986" cy="6108763"/>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4871BCE0" wp14:editId="4E67AF45">
            <wp:extent cx="9107989" cy="6054756"/>
            <wp:effectExtent l="0" t="0" r="0" b="0"/>
            <wp:docPr id="1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17" cstate="print"/>
                    <a:stretch>
                      <a:fillRect/>
                    </a:stretch>
                  </pic:blipFill>
                  <pic:spPr>
                    <a:xfrm>
                      <a:off x="0" y="0"/>
                      <a:ext cx="9107989" cy="6054756"/>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7ABBD85C" wp14:editId="136829A6">
            <wp:extent cx="9107986" cy="6024753"/>
            <wp:effectExtent l="0" t="0" r="0" b="0"/>
            <wp:docPr id="1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18" cstate="print"/>
                    <a:stretch>
                      <a:fillRect/>
                    </a:stretch>
                  </pic:blipFill>
                  <pic:spPr>
                    <a:xfrm>
                      <a:off x="0" y="0"/>
                      <a:ext cx="9107986" cy="6024753"/>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1E129242" wp14:editId="4981B65B">
            <wp:extent cx="9107989" cy="6024753"/>
            <wp:effectExtent l="0" t="0" r="0" b="0"/>
            <wp:docPr id="1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19" cstate="print"/>
                    <a:stretch>
                      <a:fillRect/>
                    </a:stretch>
                  </pic:blipFill>
                  <pic:spPr>
                    <a:xfrm>
                      <a:off x="0" y="0"/>
                      <a:ext cx="9107989" cy="6024753"/>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103DACBC" wp14:editId="29185C73">
            <wp:extent cx="9107986" cy="6000750"/>
            <wp:effectExtent l="0" t="0" r="0" b="0"/>
            <wp:docPr id="2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20" cstate="print"/>
                    <a:stretch>
                      <a:fillRect/>
                    </a:stretch>
                  </pic:blipFill>
                  <pic:spPr>
                    <a:xfrm>
                      <a:off x="0" y="0"/>
                      <a:ext cx="9107986" cy="6000750"/>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269F6B71" wp14:editId="4CE9825A">
            <wp:extent cx="9107989" cy="6078759"/>
            <wp:effectExtent l="0" t="0" r="0" b="0"/>
            <wp:docPr id="2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png"/>
                    <pic:cNvPicPr/>
                  </pic:nvPicPr>
                  <pic:blipFill>
                    <a:blip r:embed="rId21" cstate="print"/>
                    <a:stretch>
                      <a:fillRect/>
                    </a:stretch>
                  </pic:blipFill>
                  <pic:spPr>
                    <a:xfrm>
                      <a:off x="0" y="0"/>
                      <a:ext cx="9107989" cy="6078759"/>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353A884B" wp14:editId="218B77AB">
            <wp:extent cx="9107986" cy="6060757"/>
            <wp:effectExtent l="0" t="0" r="0" b="0"/>
            <wp:docPr id="2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png"/>
                    <pic:cNvPicPr/>
                  </pic:nvPicPr>
                  <pic:blipFill>
                    <a:blip r:embed="rId22" cstate="print"/>
                    <a:stretch>
                      <a:fillRect/>
                    </a:stretch>
                  </pic:blipFill>
                  <pic:spPr>
                    <a:xfrm>
                      <a:off x="0" y="0"/>
                      <a:ext cx="9107986" cy="6060757"/>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7E7AAD77" wp14:editId="435D9FF9">
            <wp:extent cx="9107989" cy="6090761"/>
            <wp:effectExtent l="0" t="0" r="0" b="0"/>
            <wp:docPr id="2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png"/>
                    <pic:cNvPicPr/>
                  </pic:nvPicPr>
                  <pic:blipFill>
                    <a:blip r:embed="rId23" cstate="print"/>
                    <a:stretch>
                      <a:fillRect/>
                    </a:stretch>
                  </pic:blipFill>
                  <pic:spPr>
                    <a:xfrm>
                      <a:off x="0" y="0"/>
                      <a:ext cx="9107989" cy="6090761"/>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79CEE31A" wp14:editId="10EB5FDF">
            <wp:extent cx="9107986" cy="6078759"/>
            <wp:effectExtent l="0" t="0" r="0" b="0"/>
            <wp:docPr id="2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png"/>
                    <pic:cNvPicPr/>
                  </pic:nvPicPr>
                  <pic:blipFill>
                    <a:blip r:embed="rId24" cstate="print"/>
                    <a:stretch>
                      <a:fillRect/>
                    </a:stretch>
                  </pic:blipFill>
                  <pic:spPr>
                    <a:xfrm>
                      <a:off x="0" y="0"/>
                      <a:ext cx="9107986" cy="6078759"/>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30C9B891" wp14:editId="45BA6240">
            <wp:extent cx="9107989" cy="6054756"/>
            <wp:effectExtent l="0" t="0" r="0" b="0"/>
            <wp:docPr id="3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png"/>
                    <pic:cNvPicPr/>
                  </pic:nvPicPr>
                  <pic:blipFill>
                    <a:blip r:embed="rId25" cstate="print"/>
                    <a:stretch>
                      <a:fillRect/>
                    </a:stretch>
                  </pic:blipFill>
                  <pic:spPr>
                    <a:xfrm>
                      <a:off x="0" y="0"/>
                      <a:ext cx="9107989" cy="6054756"/>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1A580758" wp14:editId="3E1E897E">
            <wp:extent cx="9107986" cy="5952744"/>
            <wp:effectExtent l="0" t="0" r="0" b="0"/>
            <wp:docPr id="3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png"/>
                    <pic:cNvPicPr/>
                  </pic:nvPicPr>
                  <pic:blipFill>
                    <a:blip r:embed="rId26" cstate="print"/>
                    <a:stretch>
                      <a:fillRect/>
                    </a:stretch>
                  </pic:blipFill>
                  <pic:spPr>
                    <a:xfrm>
                      <a:off x="0" y="0"/>
                      <a:ext cx="9107986" cy="5952744"/>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348D8E66" wp14:editId="359CC0E9">
            <wp:extent cx="9107989" cy="6108763"/>
            <wp:effectExtent l="0" t="0" r="0" b="0"/>
            <wp:docPr id="3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png"/>
                    <pic:cNvPicPr/>
                  </pic:nvPicPr>
                  <pic:blipFill>
                    <a:blip r:embed="rId27" cstate="print"/>
                    <a:stretch>
                      <a:fillRect/>
                    </a:stretch>
                  </pic:blipFill>
                  <pic:spPr>
                    <a:xfrm>
                      <a:off x="0" y="0"/>
                      <a:ext cx="9107989" cy="6108763"/>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59A18D06" wp14:editId="25AC0BFA">
            <wp:extent cx="9107986" cy="6072759"/>
            <wp:effectExtent l="0" t="0" r="0" b="0"/>
            <wp:docPr id="37"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png"/>
                    <pic:cNvPicPr/>
                  </pic:nvPicPr>
                  <pic:blipFill>
                    <a:blip r:embed="rId28" cstate="print"/>
                    <a:stretch>
                      <a:fillRect/>
                    </a:stretch>
                  </pic:blipFill>
                  <pic:spPr>
                    <a:xfrm>
                      <a:off x="0" y="0"/>
                      <a:ext cx="9107986" cy="6072759"/>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545445C5" wp14:editId="40056923">
            <wp:extent cx="9107989" cy="6126765"/>
            <wp:effectExtent l="0" t="0" r="0" b="0"/>
            <wp:docPr id="39"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png"/>
                    <pic:cNvPicPr/>
                  </pic:nvPicPr>
                  <pic:blipFill>
                    <a:blip r:embed="rId29" cstate="print"/>
                    <a:stretch>
                      <a:fillRect/>
                    </a:stretch>
                  </pic:blipFill>
                  <pic:spPr>
                    <a:xfrm>
                      <a:off x="0" y="0"/>
                      <a:ext cx="9107989" cy="6126765"/>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2A9F4400" wp14:editId="3B007723">
            <wp:extent cx="9107986" cy="6120765"/>
            <wp:effectExtent l="0" t="0" r="0" b="0"/>
            <wp:docPr id="41"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png"/>
                    <pic:cNvPicPr/>
                  </pic:nvPicPr>
                  <pic:blipFill>
                    <a:blip r:embed="rId30" cstate="print"/>
                    <a:stretch>
                      <a:fillRect/>
                    </a:stretch>
                  </pic:blipFill>
                  <pic:spPr>
                    <a:xfrm>
                      <a:off x="0" y="0"/>
                      <a:ext cx="9107986" cy="6120765"/>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1BE749F7" wp14:editId="130D50D1">
            <wp:extent cx="9107989" cy="6042755"/>
            <wp:effectExtent l="0" t="0" r="0" b="0"/>
            <wp:docPr id="4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png"/>
                    <pic:cNvPicPr/>
                  </pic:nvPicPr>
                  <pic:blipFill>
                    <a:blip r:embed="rId31" cstate="print"/>
                    <a:stretch>
                      <a:fillRect/>
                    </a:stretch>
                  </pic:blipFill>
                  <pic:spPr>
                    <a:xfrm>
                      <a:off x="0" y="0"/>
                      <a:ext cx="9107989" cy="6042755"/>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00E20B5E" wp14:editId="7ADAB36B">
            <wp:extent cx="9107986" cy="6102762"/>
            <wp:effectExtent l="0" t="0" r="0" b="0"/>
            <wp:docPr id="45"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png"/>
                    <pic:cNvPicPr/>
                  </pic:nvPicPr>
                  <pic:blipFill>
                    <a:blip r:embed="rId32" cstate="print"/>
                    <a:stretch>
                      <a:fillRect/>
                    </a:stretch>
                  </pic:blipFill>
                  <pic:spPr>
                    <a:xfrm>
                      <a:off x="0" y="0"/>
                      <a:ext cx="9107986" cy="6102762"/>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3321F866" wp14:editId="39432F0E">
            <wp:extent cx="9107989" cy="6078759"/>
            <wp:effectExtent l="0" t="0" r="0" b="0"/>
            <wp:docPr id="47"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png"/>
                    <pic:cNvPicPr/>
                  </pic:nvPicPr>
                  <pic:blipFill>
                    <a:blip r:embed="rId33" cstate="print"/>
                    <a:stretch>
                      <a:fillRect/>
                    </a:stretch>
                  </pic:blipFill>
                  <pic:spPr>
                    <a:xfrm>
                      <a:off x="0" y="0"/>
                      <a:ext cx="9107989" cy="6078759"/>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6171094C" wp14:editId="487E80F3">
            <wp:extent cx="9107986" cy="6024753"/>
            <wp:effectExtent l="0" t="0" r="0" b="0"/>
            <wp:docPr id="49"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png"/>
                    <pic:cNvPicPr/>
                  </pic:nvPicPr>
                  <pic:blipFill>
                    <a:blip r:embed="rId34" cstate="print"/>
                    <a:stretch>
                      <a:fillRect/>
                    </a:stretch>
                  </pic:blipFill>
                  <pic:spPr>
                    <a:xfrm>
                      <a:off x="0" y="0"/>
                      <a:ext cx="9107986" cy="6024753"/>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3825CA09" wp14:editId="1CC49A5B">
            <wp:extent cx="9107989" cy="6096762"/>
            <wp:effectExtent l="0" t="0" r="0" b="0"/>
            <wp:docPr id="5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png"/>
                    <pic:cNvPicPr/>
                  </pic:nvPicPr>
                  <pic:blipFill>
                    <a:blip r:embed="rId35" cstate="print"/>
                    <a:stretch>
                      <a:fillRect/>
                    </a:stretch>
                  </pic:blipFill>
                  <pic:spPr>
                    <a:xfrm>
                      <a:off x="0" y="0"/>
                      <a:ext cx="9107989" cy="6096762"/>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3D625BCB" wp14:editId="01684035">
            <wp:extent cx="9107986" cy="6042755"/>
            <wp:effectExtent l="0" t="0" r="0" b="0"/>
            <wp:docPr id="5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png"/>
                    <pic:cNvPicPr/>
                  </pic:nvPicPr>
                  <pic:blipFill>
                    <a:blip r:embed="rId36" cstate="print"/>
                    <a:stretch>
                      <a:fillRect/>
                    </a:stretch>
                  </pic:blipFill>
                  <pic:spPr>
                    <a:xfrm>
                      <a:off x="0" y="0"/>
                      <a:ext cx="9107986" cy="6042755"/>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1773F358" wp14:editId="564B3263">
            <wp:extent cx="9107989" cy="6048756"/>
            <wp:effectExtent l="0" t="0" r="0" b="0"/>
            <wp:docPr id="55"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png"/>
                    <pic:cNvPicPr/>
                  </pic:nvPicPr>
                  <pic:blipFill>
                    <a:blip r:embed="rId37" cstate="print"/>
                    <a:stretch>
                      <a:fillRect/>
                    </a:stretch>
                  </pic:blipFill>
                  <pic:spPr>
                    <a:xfrm>
                      <a:off x="0" y="0"/>
                      <a:ext cx="9107989" cy="6048756"/>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1DD8E6E2" wp14:editId="251E1EE8">
            <wp:extent cx="9107986" cy="6120765"/>
            <wp:effectExtent l="0" t="0" r="0" b="0"/>
            <wp:docPr id="57"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png"/>
                    <pic:cNvPicPr/>
                  </pic:nvPicPr>
                  <pic:blipFill>
                    <a:blip r:embed="rId38" cstate="print"/>
                    <a:stretch>
                      <a:fillRect/>
                    </a:stretch>
                  </pic:blipFill>
                  <pic:spPr>
                    <a:xfrm>
                      <a:off x="0" y="0"/>
                      <a:ext cx="9107986" cy="6120765"/>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0F94639B" wp14:editId="4ABDE310">
            <wp:extent cx="9107989" cy="6030753"/>
            <wp:effectExtent l="0" t="0" r="0" b="0"/>
            <wp:docPr id="5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png"/>
                    <pic:cNvPicPr/>
                  </pic:nvPicPr>
                  <pic:blipFill>
                    <a:blip r:embed="rId39" cstate="print"/>
                    <a:stretch>
                      <a:fillRect/>
                    </a:stretch>
                  </pic:blipFill>
                  <pic:spPr>
                    <a:xfrm>
                      <a:off x="0" y="0"/>
                      <a:ext cx="9107989" cy="6030753"/>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71BCA7AA" wp14:editId="6D791034">
            <wp:extent cx="9107986" cy="6108763"/>
            <wp:effectExtent l="0" t="0" r="0" b="0"/>
            <wp:docPr id="61"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1.png"/>
                    <pic:cNvPicPr/>
                  </pic:nvPicPr>
                  <pic:blipFill>
                    <a:blip r:embed="rId40" cstate="print"/>
                    <a:stretch>
                      <a:fillRect/>
                    </a:stretch>
                  </pic:blipFill>
                  <pic:spPr>
                    <a:xfrm>
                      <a:off x="0" y="0"/>
                      <a:ext cx="9107986" cy="6108763"/>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586F8703" wp14:editId="499B5C20">
            <wp:extent cx="9107989" cy="6120765"/>
            <wp:effectExtent l="0" t="0" r="0" b="0"/>
            <wp:docPr id="63"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2.png"/>
                    <pic:cNvPicPr/>
                  </pic:nvPicPr>
                  <pic:blipFill>
                    <a:blip r:embed="rId41" cstate="print"/>
                    <a:stretch>
                      <a:fillRect/>
                    </a:stretch>
                  </pic:blipFill>
                  <pic:spPr>
                    <a:xfrm>
                      <a:off x="0" y="0"/>
                      <a:ext cx="9107989" cy="6120765"/>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682A0FE3" wp14:editId="30B0769F">
            <wp:extent cx="9107986" cy="6066758"/>
            <wp:effectExtent l="0" t="0" r="0" b="0"/>
            <wp:docPr id="65"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3.png"/>
                    <pic:cNvPicPr/>
                  </pic:nvPicPr>
                  <pic:blipFill>
                    <a:blip r:embed="rId42" cstate="print"/>
                    <a:stretch>
                      <a:fillRect/>
                    </a:stretch>
                  </pic:blipFill>
                  <pic:spPr>
                    <a:xfrm>
                      <a:off x="0" y="0"/>
                      <a:ext cx="9107986" cy="6066758"/>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7CC36E9A" wp14:editId="7076F6AA">
            <wp:extent cx="9107989" cy="6120765"/>
            <wp:effectExtent l="0" t="0" r="0" b="0"/>
            <wp:docPr id="67"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4.png"/>
                    <pic:cNvPicPr/>
                  </pic:nvPicPr>
                  <pic:blipFill>
                    <a:blip r:embed="rId43" cstate="print"/>
                    <a:stretch>
                      <a:fillRect/>
                    </a:stretch>
                  </pic:blipFill>
                  <pic:spPr>
                    <a:xfrm>
                      <a:off x="0" y="0"/>
                      <a:ext cx="9107989" cy="6120765"/>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1EE1C72E" wp14:editId="56A2E715">
            <wp:extent cx="9107986" cy="6066758"/>
            <wp:effectExtent l="0" t="0" r="0" b="0"/>
            <wp:docPr id="69"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5.png"/>
                    <pic:cNvPicPr/>
                  </pic:nvPicPr>
                  <pic:blipFill>
                    <a:blip r:embed="rId44" cstate="print"/>
                    <a:stretch>
                      <a:fillRect/>
                    </a:stretch>
                  </pic:blipFill>
                  <pic:spPr>
                    <a:xfrm>
                      <a:off x="0" y="0"/>
                      <a:ext cx="9107986" cy="6066758"/>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4287F362" wp14:editId="7490DFDF">
            <wp:extent cx="9107989" cy="6030753"/>
            <wp:effectExtent l="0" t="0" r="0" b="0"/>
            <wp:docPr id="71"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6.png"/>
                    <pic:cNvPicPr/>
                  </pic:nvPicPr>
                  <pic:blipFill>
                    <a:blip r:embed="rId45" cstate="print"/>
                    <a:stretch>
                      <a:fillRect/>
                    </a:stretch>
                  </pic:blipFill>
                  <pic:spPr>
                    <a:xfrm>
                      <a:off x="0" y="0"/>
                      <a:ext cx="9107989" cy="6030753"/>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74E97614" wp14:editId="3B63D813">
            <wp:extent cx="9107986" cy="5874734"/>
            <wp:effectExtent l="0" t="0" r="0" b="0"/>
            <wp:docPr id="73"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7.png"/>
                    <pic:cNvPicPr/>
                  </pic:nvPicPr>
                  <pic:blipFill>
                    <a:blip r:embed="rId46" cstate="print"/>
                    <a:stretch>
                      <a:fillRect/>
                    </a:stretch>
                  </pic:blipFill>
                  <pic:spPr>
                    <a:xfrm>
                      <a:off x="0" y="0"/>
                      <a:ext cx="9107986" cy="5874734"/>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00651FA8" wp14:editId="427C1FD6">
            <wp:extent cx="9107989" cy="6084760"/>
            <wp:effectExtent l="0" t="0" r="0" b="0"/>
            <wp:docPr id="75"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8.png"/>
                    <pic:cNvPicPr/>
                  </pic:nvPicPr>
                  <pic:blipFill>
                    <a:blip r:embed="rId47" cstate="print"/>
                    <a:stretch>
                      <a:fillRect/>
                    </a:stretch>
                  </pic:blipFill>
                  <pic:spPr>
                    <a:xfrm>
                      <a:off x="0" y="0"/>
                      <a:ext cx="9107989" cy="6084760"/>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2EDE2A3D" wp14:editId="1C0731B1">
            <wp:extent cx="9107986" cy="6060757"/>
            <wp:effectExtent l="0" t="0" r="0" b="0"/>
            <wp:docPr id="77"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9.png"/>
                    <pic:cNvPicPr/>
                  </pic:nvPicPr>
                  <pic:blipFill>
                    <a:blip r:embed="rId48" cstate="print"/>
                    <a:stretch>
                      <a:fillRect/>
                    </a:stretch>
                  </pic:blipFill>
                  <pic:spPr>
                    <a:xfrm>
                      <a:off x="0" y="0"/>
                      <a:ext cx="9107986" cy="6060757"/>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5B0A0A5F" wp14:editId="2B3CCBC2">
            <wp:extent cx="9107989" cy="6060757"/>
            <wp:effectExtent l="0" t="0" r="0" b="0"/>
            <wp:docPr id="79"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0.png"/>
                    <pic:cNvPicPr/>
                  </pic:nvPicPr>
                  <pic:blipFill>
                    <a:blip r:embed="rId49" cstate="print"/>
                    <a:stretch>
                      <a:fillRect/>
                    </a:stretch>
                  </pic:blipFill>
                  <pic:spPr>
                    <a:xfrm>
                      <a:off x="0" y="0"/>
                      <a:ext cx="9107989" cy="6060757"/>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5661A4DF" wp14:editId="7AFEDF37">
            <wp:extent cx="9107986" cy="5982747"/>
            <wp:effectExtent l="0" t="0" r="0" b="0"/>
            <wp:docPr id="81"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1.png"/>
                    <pic:cNvPicPr/>
                  </pic:nvPicPr>
                  <pic:blipFill>
                    <a:blip r:embed="rId50" cstate="print"/>
                    <a:stretch>
                      <a:fillRect/>
                    </a:stretch>
                  </pic:blipFill>
                  <pic:spPr>
                    <a:xfrm>
                      <a:off x="0" y="0"/>
                      <a:ext cx="9107986" cy="5982747"/>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1EC649E0" wp14:editId="380CEAD2">
            <wp:extent cx="9107989" cy="6018752"/>
            <wp:effectExtent l="0" t="0" r="0" b="0"/>
            <wp:docPr id="83"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2.png"/>
                    <pic:cNvPicPr/>
                  </pic:nvPicPr>
                  <pic:blipFill>
                    <a:blip r:embed="rId51" cstate="print"/>
                    <a:stretch>
                      <a:fillRect/>
                    </a:stretch>
                  </pic:blipFill>
                  <pic:spPr>
                    <a:xfrm>
                      <a:off x="0" y="0"/>
                      <a:ext cx="9107989" cy="6018752"/>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629948F6" wp14:editId="2D90FAEE">
            <wp:extent cx="9107986" cy="6090761"/>
            <wp:effectExtent l="0" t="0" r="0" b="0"/>
            <wp:docPr id="85"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3.png"/>
                    <pic:cNvPicPr/>
                  </pic:nvPicPr>
                  <pic:blipFill>
                    <a:blip r:embed="rId52" cstate="print"/>
                    <a:stretch>
                      <a:fillRect/>
                    </a:stretch>
                  </pic:blipFill>
                  <pic:spPr>
                    <a:xfrm>
                      <a:off x="0" y="0"/>
                      <a:ext cx="9107986" cy="6090761"/>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2DF75614" wp14:editId="04ADFA09">
            <wp:extent cx="9107989" cy="6072759"/>
            <wp:effectExtent l="0" t="0" r="0" b="0"/>
            <wp:docPr id="87"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4.png"/>
                    <pic:cNvPicPr/>
                  </pic:nvPicPr>
                  <pic:blipFill>
                    <a:blip r:embed="rId53" cstate="print"/>
                    <a:stretch>
                      <a:fillRect/>
                    </a:stretch>
                  </pic:blipFill>
                  <pic:spPr>
                    <a:xfrm>
                      <a:off x="0" y="0"/>
                      <a:ext cx="9107989" cy="6072759"/>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215DEAA9" wp14:editId="2B00227F">
            <wp:extent cx="9107986" cy="6102762"/>
            <wp:effectExtent l="0" t="0" r="0" b="0"/>
            <wp:docPr id="89"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5.png"/>
                    <pic:cNvPicPr/>
                  </pic:nvPicPr>
                  <pic:blipFill>
                    <a:blip r:embed="rId54" cstate="print"/>
                    <a:stretch>
                      <a:fillRect/>
                    </a:stretch>
                  </pic:blipFill>
                  <pic:spPr>
                    <a:xfrm>
                      <a:off x="0" y="0"/>
                      <a:ext cx="9107986" cy="6102762"/>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3F383874" wp14:editId="6ADA9D91">
            <wp:extent cx="9107989" cy="6060757"/>
            <wp:effectExtent l="0" t="0" r="0" b="0"/>
            <wp:docPr id="91"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6.png"/>
                    <pic:cNvPicPr/>
                  </pic:nvPicPr>
                  <pic:blipFill>
                    <a:blip r:embed="rId55" cstate="print"/>
                    <a:stretch>
                      <a:fillRect/>
                    </a:stretch>
                  </pic:blipFill>
                  <pic:spPr>
                    <a:xfrm>
                      <a:off x="0" y="0"/>
                      <a:ext cx="9107989" cy="6060757"/>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5FDBC54D" wp14:editId="0D2CFE1B">
            <wp:extent cx="9107986" cy="6090761"/>
            <wp:effectExtent l="0" t="0" r="0" b="0"/>
            <wp:docPr id="93"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7.png"/>
                    <pic:cNvPicPr/>
                  </pic:nvPicPr>
                  <pic:blipFill>
                    <a:blip r:embed="rId56" cstate="print"/>
                    <a:stretch>
                      <a:fillRect/>
                    </a:stretch>
                  </pic:blipFill>
                  <pic:spPr>
                    <a:xfrm>
                      <a:off x="0" y="0"/>
                      <a:ext cx="9107986" cy="6090761"/>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121D1133" wp14:editId="00299EA2">
            <wp:extent cx="9107989" cy="6096762"/>
            <wp:effectExtent l="0" t="0" r="0" b="0"/>
            <wp:docPr id="95"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48.png"/>
                    <pic:cNvPicPr/>
                  </pic:nvPicPr>
                  <pic:blipFill>
                    <a:blip r:embed="rId57" cstate="print"/>
                    <a:stretch>
                      <a:fillRect/>
                    </a:stretch>
                  </pic:blipFill>
                  <pic:spPr>
                    <a:xfrm>
                      <a:off x="0" y="0"/>
                      <a:ext cx="9107989" cy="6096762"/>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57B75CCE" wp14:editId="30702E45">
            <wp:extent cx="9107986" cy="6060757"/>
            <wp:effectExtent l="0" t="0" r="0" b="0"/>
            <wp:docPr id="97"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49.png"/>
                    <pic:cNvPicPr/>
                  </pic:nvPicPr>
                  <pic:blipFill>
                    <a:blip r:embed="rId58" cstate="print"/>
                    <a:stretch>
                      <a:fillRect/>
                    </a:stretch>
                  </pic:blipFill>
                  <pic:spPr>
                    <a:xfrm>
                      <a:off x="0" y="0"/>
                      <a:ext cx="9107986" cy="6060757"/>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5AABD05A" wp14:editId="0C64EAE2">
            <wp:extent cx="9107989" cy="6108763"/>
            <wp:effectExtent l="0" t="0" r="0" b="0"/>
            <wp:docPr id="99"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0.png"/>
                    <pic:cNvPicPr/>
                  </pic:nvPicPr>
                  <pic:blipFill>
                    <a:blip r:embed="rId59" cstate="print"/>
                    <a:stretch>
                      <a:fillRect/>
                    </a:stretch>
                  </pic:blipFill>
                  <pic:spPr>
                    <a:xfrm>
                      <a:off x="0" y="0"/>
                      <a:ext cx="9107989" cy="6108763"/>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16939FF1" wp14:editId="386BB119">
            <wp:extent cx="9107986" cy="6126765"/>
            <wp:effectExtent l="0" t="0" r="0" b="0"/>
            <wp:docPr id="2"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1.png"/>
                    <pic:cNvPicPr/>
                  </pic:nvPicPr>
                  <pic:blipFill>
                    <a:blip r:embed="rId60" cstate="print"/>
                    <a:stretch>
                      <a:fillRect/>
                    </a:stretch>
                  </pic:blipFill>
                  <pic:spPr>
                    <a:xfrm>
                      <a:off x="0" y="0"/>
                      <a:ext cx="9107986" cy="6126765"/>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1675F00A" wp14:editId="45866EF2">
            <wp:extent cx="9107989" cy="6096762"/>
            <wp:effectExtent l="0" t="0" r="0" b="0"/>
            <wp:docPr id="103"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2.png"/>
                    <pic:cNvPicPr/>
                  </pic:nvPicPr>
                  <pic:blipFill>
                    <a:blip r:embed="rId61" cstate="print"/>
                    <a:stretch>
                      <a:fillRect/>
                    </a:stretch>
                  </pic:blipFill>
                  <pic:spPr>
                    <a:xfrm>
                      <a:off x="0" y="0"/>
                      <a:ext cx="9107989" cy="6096762"/>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515B2669" wp14:editId="30DD6496">
            <wp:extent cx="9107986" cy="6126765"/>
            <wp:effectExtent l="0" t="0" r="0" b="0"/>
            <wp:docPr id="105"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3.png"/>
                    <pic:cNvPicPr/>
                  </pic:nvPicPr>
                  <pic:blipFill>
                    <a:blip r:embed="rId62" cstate="print"/>
                    <a:stretch>
                      <a:fillRect/>
                    </a:stretch>
                  </pic:blipFill>
                  <pic:spPr>
                    <a:xfrm>
                      <a:off x="0" y="0"/>
                      <a:ext cx="9107986" cy="6126765"/>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38688B2F" wp14:editId="1DB068DC">
            <wp:extent cx="9107989" cy="6024753"/>
            <wp:effectExtent l="0" t="0" r="0" b="0"/>
            <wp:docPr id="107"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4.png"/>
                    <pic:cNvPicPr/>
                  </pic:nvPicPr>
                  <pic:blipFill>
                    <a:blip r:embed="rId63" cstate="print"/>
                    <a:stretch>
                      <a:fillRect/>
                    </a:stretch>
                  </pic:blipFill>
                  <pic:spPr>
                    <a:xfrm>
                      <a:off x="0" y="0"/>
                      <a:ext cx="9107989" cy="6024753"/>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13B39126" wp14:editId="6AD40E62">
            <wp:extent cx="9107986" cy="6060757"/>
            <wp:effectExtent l="0" t="0" r="0" b="0"/>
            <wp:docPr id="109"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55.png"/>
                    <pic:cNvPicPr/>
                  </pic:nvPicPr>
                  <pic:blipFill>
                    <a:blip r:embed="rId64" cstate="print"/>
                    <a:stretch>
                      <a:fillRect/>
                    </a:stretch>
                  </pic:blipFill>
                  <pic:spPr>
                    <a:xfrm>
                      <a:off x="0" y="0"/>
                      <a:ext cx="9107986" cy="6060757"/>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6438AC8D" wp14:editId="6D408D3D">
            <wp:extent cx="9107989" cy="6024753"/>
            <wp:effectExtent l="0" t="0" r="0" b="0"/>
            <wp:docPr id="111"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56.png"/>
                    <pic:cNvPicPr/>
                  </pic:nvPicPr>
                  <pic:blipFill>
                    <a:blip r:embed="rId65" cstate="print"/>
                    <a:stretch>
                      <a:fillRect/>
                    </a:stretch>
                  </pic:blipFill>
                  <pic:spPr>
                    <a:xfrm>
                      <a:off x="0" y="0"/>
                      <a:ext cx="9107989" cy="6024753"/>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60774C34" wp14:editId="5BB34839">
            <wp:extent cx="9107986" cy="5952744"/>
            <wp:effectExtent l="0" t="0" r="0" b="0"/>
            <wp:docPr id="113"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57.png"/>
                    <pic:cNvPicPr/>
                  </pic:nvPicPr>
                  <pic:blipFill>
                    <a:blip r:embed="rId66" cstate="print"/>
                    <a:stretch>
                      <a:fillRect/>
                    </a:stretch>
                  </pic:blipFill>
                  <pic:spPr>
                    <a:xfrm>
                      <a:off x="0" y="0"/>
                      <a:ext cx="9107986" cy="5952744"/>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07E68AAD" wp14:editId="3262CBC4">
            <wp:extent cx="9107989" cy="6084760"/>
            <wp:effectExtent l="0" t="0" r="0" b="0"/>
            <wp:docPr id="115"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58.png"/>
                    <pic:cNvPicPr/>
                  </pic:nvPicPr>
                  <pic:blipFill>
                    <a:blip r:embed="rId67" cstate="print"/>
                    <a:stretch>
                      <a:fillRect/>
                    </a:stretch>
                  </pic:blipFill>
                  <pic:spPr>
                    <a:xfrm>
                      <a:off x="0" y="0"/>
                      <a:ext cx="9107989" cy="6084760"/>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132FEB88" wp14:editId="306B8544">
            <wp:extent cx="9107986" cy="6048756"/>
            <wp:effectExtent l="0" t="0" r="0" b="0"/>
            <wp:docPr id="117"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59.png"/>
                    <pic:cNvPicPr/>
                  </pic:nvPicPr>
                  <pic:blipFill>
                    <a:blip r:embed="rId68" cstate="print"/>
                    <a:stretch>
                      <a:fillRect/>
                    </a:stretch>
                  </pic:blipFill>
                  <pic:spPr>
                    <a:xfrm>
                      <a:off x="0" y="0"/>
                      <a:ext cx="9107986" cy="6048756"/>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27E458C6" wp14:editId="7E2E59F3">
            <wp:extent cx="9107989" cy="6042755"/>
            <wp:effectExtent l="0" t="0" r="0" b="0"/>
            <wp:docPr id="119"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60.png"/>
                    <pic:cNvPicPr/>
                  </pic:nvPicPr>
                  <pic:blipFill>
                    <a:blip r:embed="rId69" cstate="print"/>
                    <a:stretch>
                      <a:fillRect/>
                    </a:stretch>
                  </pic:blipFill>
                  <pic:spPr>
                    <a:xfrm>
                      <a:off x="0" y="0"/>
                      <a:ext cx="9107989" cy="6042755"/>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533DBE0E" wp14:editId="02B105D1">
            <wp:extent cx="9107986" cy="6054756"/>
            <wp:effectExtent l="0" t="0" r="0" b="0"/>
            <wp:docPr id="121"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61.png"/>
                    <pic:cNvPicPr/>
                  </pic:nvPicPr>
                  <pic:blipFill>
                    <a:blip r:embed="rId70" cstate="print"/>
                    <a:stretch>
                      <a:fillRect/>
                    </a:stretch>
                  </pic:blipFill>
                  <pic:spPr>
                    <a:xfrm>
                      <a:off x="0" y="0"/>
                      <a:ext cx="9107986" cy="6054756"/>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5C38D786" wp14:editId="0BB11D28">
            <wp:extent cx="9107989" cy="6096762"/>
            <wp:effectExtent l="0" t="0" r="0" b="0"/>
            <wp:docPr id="123"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62.png"/>
                    <pic:cNvPicPr/>
                  </pic:nvPicPr>
                  <pic:blipFill>
                    <a:blip r:embed="rId71" cstate="print"/>
                    <a:stretch>
                      <a:fillRect/>
                    </a:stretch>
                  </pic:blipFill>
                  <pic:spPr>
                    <a:xfrm>
                      <a:off x="0" y="0"/>
                      <a:ext cx="9107989" cy="6096762"/>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24B83A1C" wp14:editId="4A9A0EF3">
            <wp:extent cx="9107986" cy="6078759"/>
            <wp:effectExtent l="0" t="0" r="0" b="0"/>
            <wp:docPr id="125"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63.png"/>
                    <pic:cNvPicPr/>
                  </pic:nvPicPr>
                  <pic:blipFill>
                    <a:blip r:embed="rId72" cstate="print"/>
                    <a:stretch>
                      <a:fillRect/>
                    </a:stretch>
                  </pic:blipFill>
                  <pic:spPr>
                    <a:xfrm>
                      <a:off x="0" y="0"/>
                      <a:ext cx="9107986" cy="6078759"/>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133C64C2" wp14:editId="0EF23036">
            <wp:extent cx="9107989" cy="6024753"/>
            <wp:effectExtent l="0" t="0" r="0" b="0"/>
            <wp:docPr id="127"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64.png"/>
                    <pic:cNvPicPr/>
                  </pic:nvPicPr>
                  <pic:blipFill>
                    <a:blip r:embed="rId73" cstate="print"/>
                    <a:stretch>
                      <a:fillRect/>
                    </a:stretch>
                  </pic:blipFill>
                  <pic:spPr>
                    <a:xfrm>
                      <a:off x="0" y="0"/>
                      <a:ext cx="9107989" cy="6024753"/>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7C3030E6" wp14:editId="5FD0EAFA">
            <wp:extent cx="9107986" cy="6072759"/>
            <wp:effectExtent l="0" t="0" r="0" b="0"/>
            <wp:docPr id="129"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65.png"/>
                    <pic:cNvPicPr/>
                  </pic:nvPicPr>
                  <pic:blipFill>
                    <a:blip r:embed="rId74" cstate="print"/>
                    <a:stretch>
                      <a:fillRect/>
                    </a:stretch>
                  </pic:blipFill>
                  <pic:spPr>
                    <a:xfrm>
                      <a:off x="0" y="0"/>
                      <a:ext cx="9107986" cy="6072759"/>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6CD369BC" wp14:editId="058C473D">
            <wp:extent cx="9107989" cy="5976747"/>
            <wp:effectExtent l="0" t="0" r="0" b="0"/>
            <wp:docPr id="131"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66.png"/>
                    <pic:cNvPicPr/>
                  </pic:nvPicPr>
                  <pic:blipFill>
                    <a:blip r:embed="rId75" cstate="print"/>
                    <a:stretch>
                      <a:fillRect/>
                    </a:stretch>
                  </pic:blipFill>
                  <pic:spPr>
                    <a:xfrm>
                      <a:off x="0" y="0"/>
                      <a:ext cx="9107989" cy="5976747"/>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71959F09" wp14:editId="14031F19">
            <wp:extent cx="9107986" cy="6072759"/>
            <wp:effectExtent l="0" t="0" r="0" b="0"/>
            <wp:docPr id="133"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67.png"/>
                    <pic:cNvPicPr/>
                  </pic:nvPicPr>
                  <pic:blipFill>
                    <a:blip r:embed="rId76" cstate="print"/>
                    <a:stretch>
                      <a:fillRect/>
                    </a:stretch>
                  </pic:blipFill>
                  <pic:spPr>
                    <a:xfrm>
                      <a:off x="0" y="0"/>
                      <a:ext cx="9107986" cy="6072759"/>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56CCBB40" wp14:editId="073876CC">
            <wp:extent cx="9107989" cy="6078759"/>
            <wp:effectExtent l="0" t="0" r="0" b="0"/>
            <wp:docPr id="135"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68.png"/>
                    <pic:cNvPicPr/>
                  </pic:nvPicPr>
                  <pic:blipFill>
                    <a:blip r:embed="rId77" cstate="print"/>
                    <a:stretch>
                      <a:fillRect/>
                    </a:stretch>
                  </pic:blipFill>
                  <pic:spPr>
                    <a:xfrm>
                      <a:off x="0" y="0"/>
                      <a:ext cx="9107989" cy="6078759"/>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1C321CD8" wp14:editId="49894ECE">
            <wp:extent cx="9107986" cy="6114764"/>
            <wp:effectExtent l="0" t="0" r="0" b="0"/>
            <wp:docPr id="137"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69.png"/>
                    <pic:cNvPicPr/>
                  </pic:nvPicPr>
                  <pic:blipFill>
                    <a:blip r:embed="rId78" cstate="print"/>
                    <a:stretch>
                      <a:fillRect/>
                    </a:stretch>
                  </pic:blipFill>
                  <pic:spPr>
                    <a:xfrm>
                      <a:off x="0" y="0"/>
                      <a:ext cx="9107986" cy="6114764"/>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33A1017D" wp14:editId="42C2EB48">
            <wp:extent cx="9107989" cy="6078759"/>
            <wp:effectExtent l="0" t="0" r="0" b="0"/>
            <wp:docPr id="139"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70.png"/>
                    <pic:cNvPicPr/>
                  </pic:nvPicPr>
                  <pic:blipFill>
                    <a:blip r:embed="rId79" cstate="print"/>
                    <a:stretch>
                      <a:fillRect/>
                    </a:stretch>
                  </pic:blipFill>
                  <pic:spPr>
                    <a:xfrm>
                      <a:off x="0" y="0"/>
                      <a:ext cx="9107989" cy="6078759"/>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4AC8FEF3" wp14:editId="1BE9894B">
            <wp:extent cx="9107986" cy="5694711"/>
            <wp:effectExtent l="0" t="0" r="0" b="0"/>
            <wp:docPr id="141"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71.png"/>
                    <pic:cNvPicPr/>
                  </pic:nvPicPr>
                  <pic:blipFill>
                    <a:blip r:embed="rId80" cstate="print"/>
                    <a:stretch>
                      <a:fillRect/>
                    </a:stretch>
                  </pic:blipFill>
                  <pic:spPr>
                    <a:xfrm>
                      <a:off x="0" y="0"/>
                      <a:ext cx="9107986" cy="5694711"/>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6944D3FE" wp14:editId="108597A2">
            <wp:extent cx="9107989" cy="6138767"/>
            <wp:effectExtent l="0" t="0" r="0" b="0"/>
            <wp:docPr id="143"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72.png"/>
                    <pic:cNvPicPr/>
                  </pic:nvPicPr>
                  <pic:blipFill>
                    <a:blip r:embed="rId81" cstate="print"/>
                    <a:stretch>
                      <a:fillRect/>
                    </a:stretch>
                  </pic:blipFill>
                  <pic:spPr>
                    <a:xfrm>
                      <a:off x="0" y="0"/>
                      <a:ext cx="9107989" cy="6138767"/>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7016EBF4" wp14:editId="3A66E222">
            <wp:extent cx="9107986" cy="6126765"/>
            <wp:effectExtent l="0" t="0" r="0" b="0"/>
            <wp:docPr id="145"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73.png"/>
                    <pic:cNvPicPr/>
                  </pic:nvPicPr>
                  <pic:blipFill>
                    <a:blip r:embed="rId82" cstate="print"/>
                    <a:stretch>
                      <a:fillRect/>
                    </a:stretch>
                  </pic:blipFill>
                  <pic:spPr>
                    <a:xfrm>
                      <a:off x="0" y="0"/>
                      <a:ext cx="9107986" cy="6126765"/>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17FDFACF" wp14:editId="058BA37B">
            <wp:extent cx="9107989" cy="6024753"/>
            <wp:effectExtent l="0" t="0" r="0" b="0"/>
            <wp:docPr id="147"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74.png"/>
                    <pic:cNvPicPr/>
                  </pic:nvPicPr>
                  <pic:blipFill>
                    <a:blip r:embed="rId83" cstate="print"/>
                    <a:stretch>
                      <a:fillRect/>
                    </a:stretch>
                  </pic:blipFill>
                  <pic:spPr>
                    <a:xfrm>
                      <a:off x="0" y="0"/>
                      <a:ext cx="9107989" cy="6024753"/>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590B55B6" wp14:editId="22E41184">
            <wp:extent cx="9107986" cy="6024753"/>
            <wp:effectExtent l="0" t="0" r="0" b="0"/>
            <wp:docPr id="149"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75.png"/>
                    <pic:cNvPicPr/>
                  </pic:nvPicPr>
                  <pic:blipFill>
                    <a:blip r:embed="rId84" cstate="print"/>
                    <a:stretch>
                      <a:fillRect/>
                    </a:stretch>
                  </pic:blipFill>
                  <pic:spPr>
                    <a:xfrm>
                      <a:off x="0" y="0"/>
                      <a:ext cx="9107986" cy="6024753"/>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2280CC19" wp14:editId="42229813">
            <wp:extent cx="9107989" cy="6114764"/>
            <wp:effectExtent l="0" t="0" r="0" b="0"/>
            <wp:docPr id="151"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76.png"/>
                    <pic:cNvPicPr/>
                  </pic:nvPicPr>
                  <pic:blipFill>
                    <a:blip r:embed="rId85" cstate="print"/>
                    <a:stretch>
                      <a:fillRect/>
                    </a:stretch>
                  </pic:blipFill>
                  <pic:spPr>
                    <a:xfrm>
                      <a:off x="0" y="0"/>
                      <a:ext cx="9107989" cy="6114764"/>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4430E532" wp14:editId="22D59644">
            <wp:extent cx="9107986" cy="6090761"/>
            <wp:effectExtent l="0" t="0" r="0" b="0"/>
            <wp:docPr id="153"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77.png"/>
                    <pic:cNvPicPr/>
                  </pic:nvPicPr>
                  <pic:blipFill>
                    <a:blip r:embed="rId86" cstate="print"/>
                    <a:stretch>
                      <a:fillRect/>
                    </a:stretch>
                  </pic:blipFill>
                  <pic:spPr>
                    <a:xfrm>
                      <a:off x="0" y="0"/>
                      <a:ext cx="9107986" cy="6090761"/>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76F28624" wp14:editId="5111124E">
            <wp:extent cx="9107989" cy="6120765"/>
            <wp:effectExtent l="0" t="0" r="0" b="0"/>
            <wp:docPr id="155"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78.png"/>
                    <pic:cNvPicPr/>
                  </pic:nvPicPr>
                  <pic:blipFill>
                    <a:blip r:embed="rId87" cstate="print"/>
                    <a:stretch>
                      <a:fillRect/>
                    </a:stretch>
                  </pic:blipFill>
                  <pic:spPr>
                    <a:xfrm>
                      <a:off x="0" y="0"/>
                      <a:ext cx="9107989" cy="6120765"/>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16F824A9" wp14:editId="48A33791">
            <wp:extent cx="9107986" cy="6078759"/>
            <wp:effectExtent l="0" t="0" r="0" b="0"/>
            <wp:docPr id="157"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79.png"/>
                    <pic:cNvPicPr/>
                  </pic:nvPicPr>
                  <pic:blipFill>
                    <a:blip r:embed="rId88" cstate="print"/>
                    <a:stretch>
                      <a:fillRect/>
                    </a:stretch>
                  </pic:blipFill>
                  <pic:spPr>
                    <a:xfrm>
                      <a:off x="0" y="0"/>
                      <a:ext cx="9107986" cy="6078759"/>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38979D27" wp14:editId="2B74B517">
            <wp:extent cx="9107989" cy="6054756"/>
            <wp:effectExtent l="0" t="0" r="0" b="0"/>
            <wp:docPr id="159"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80.png"/>
                    <pic:cNvPicPr/>
                  </pic:nvPicPr>
                  <pic:blipFill>
                    <a:blip r:embed="rId89" cstate="print"/>
                    <a:stretch>
                      <a:fillRect/>
                    </a:stretch>
                  </pic:blipFill>
                  <pic:spPr>
                    <a:xfrm>
                      <a:off x="0" y="0"/>
                      <a:ext cx="9107989" cy="6054756"/>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3753F79E" wp14:editId="2B4F2E15">
            <wp:extent cx="9107986" cy="6132766"/>
            <wp:effectExtent l="0" t="0" r="0" b="0"/>
            <wp:docPr id="161"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81.png"/>
                    <pic:cNvPicPr/>
                  </pic:nvPicPr>
                  <pic:blipFill>
                    <a:blip r:embed="rId90" cstate="print"/>
                    <a:stretch>
                      <a:fillRect/>
                    </a:stretch>
                  </pic:blipFill>
                  <pic:spPr>
                    <a:xfrm>
                      <a:off x="0" y="0"/>
                      <a:ext cx="9107986" cy="6132766"/>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17A7B2A0" wp14:editId="177C532F">
            <wp:extent cx="9107989" cy="6144768"/>
            <wp:effectExtent l="0" t="0" r="0" b="0"/>
            <wp:docPr id="163"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82.png"/>
                    <pic:cNvPicPr/>
                  </pic:nvPicPr>
                  <pic:blipFill>
                    <a:blip r:embed="rId91" cstate="print"/>
                    <a:stretch>
                      <a:fillRect/>
                    </a:stretch>
                  </pic:blipFill>
                  <pic:spPr>
                    <a:xfrm>
                      <a:off x="0" y="0"/>
                      <a:ext cx="9107989" cy="6144768"/>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178FE840" wp14:editId="06CD9F3E">
            <wp:extent cx="9107986" cy="6072759"/>
            <wp:effectExtent l="0" t="0" r="0" b="0"/>
            <wp:docPr id="165"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83.png"/>
                    <pic:cNvPicPr/>
                  </pic:nvPicPr>
                  <pic:blipFill>
                    <a:blip r:embed="rId92" cstate="print"/>
                    <a:stretch>
                      <a:fillRect/>
                    </a:stretch>
                  </pic:blipFill>
                  <pic:spPr>
                    <a:xfrm>
                      <a:off x="0" y="0"/>
                      <a:ext cx="9107986" cy="6072759"/>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1962C5A6" wp14:editId="7D4526A6">
            <wp:extent cx="9107989" cy="6108763"/>
            <wp:effectExtent l="0" t="0" r="0" b="0"/>
            <wp:docPr id="167"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84.png"/>
                    <pic:cNvPicPr/>
                  </pic:nvPicPr>
                  <pic:blipFill>
                    <a:blip r:embed="rId93" cstate="print"/>
                    <a:stretch>
                      <a:fillRect/>
                    </a:stretch>
                  </pic:blipFill>
                  <pic:spPr>
                    <a:xfrm>
                      <a:off x="0" y="0"/>
                      <a:ext cx="9107989" cy="6108763"/>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60E8BB18" wp14:editId="5B5E6D3F">
            <wp:extent cx="9107986" cy="5994749"/>
            <wp:effectExtent l="0" t="0" r="0" b="0"/>
            <wp:docPr id="169"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85.png"/>
                    <pic:cNvPicPr/>
                  </pic:nvPicPr>
                  <pic:blipFill>
                    <a:blip r:embed="rId94" cstate="print"/>
                    <a:stretch>
                      <a:fillRect/>
                    </a:stretch>
                  </pic:blipFill>
                  <pic:spPr>
                    <a:xfrm>
                      <a:off x="0" y="0"/>
                      <a:ext cx="9107986" cy="5994749"/>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5091E872" wp14:editId="088F4019">
            <wp:extent cx="9107989" cy="6072759"/>
            <wp:effectExtent l="0" t="0" r="0" b="0"/>
            <wp:docPr id="171"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86.png"/>
                    <pic:cNvPicPr/>
                  </pic:nvPicPr>
                  <pic:blipFill>
                    <a:blip r:embed="rId95" cstate="print"/>
                    <a:stretch>
                      <a:fillRect/>
                    </a:stretch>
                  </pic:blipFill>
                  <pic:spPr>
                    <a:xfrm>
                      <a:off x="0" y="0"/>
                      <a:ext cx="9107989" cy="6072759"/>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7A9ABB05" wp14:editId="1D05BB02">
            <wp:extent cx="9107986" cy="6066758"/>
            <wp:effectExtent l="0" t="0" r="0" b="0"/>
            <wp:docPr id="173"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87.png"/>
                    <pic:cNvPicPr/>
                  </pic:nvPicPr>
                  <pic:blipFill>
                    <a:blip r:embed="rId96" cstate="print"/>
                    <a:stretch>
                      <a:fillRect/>
                    </a:stretch>
                  </pic:blipFill>
                  <pic:spPr>
                    <a:xfrm>
                      <a:off x="0" y="0"/>
                      <a:ext cx="9107986" cy="6066758"/>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7FE40FDE" wp14:editId="6B41B72D">
            <wp:extent cx="9107989" cy="6126765"/>
            <wp:effectExtent l="0" t="0" r="0" b="0"/>
            <wp:docPr id="175"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88.png"/>
                    <pic:cNvPicPr/>
                  </pic:nvPicPr>
                  <pic:blipFill>
                    <a:blip r:embed="rId97" cstate="print"/>
                    <a:stretch>
                      <a:fillRect/>
                    </a:stretch>
                  </pic:blipFill>
                  <pic:spPr>
                    <a:xfrm>
                      <a:off x="0" y="0"/>
                      <a:ext cx="9107989" cy="6126765"/>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531D192E" wp14:editId="1E5BDFD7">
            <wp:extent cx="9107986" cy="6114764"/>
            <wp:effectExtent l="0" t="0" r="0" b="0"/>
            <wp:docPr id="177" name="imag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89.png"/>
                    <pic:cNvPicPr/>
                  </pic:nvPicPr>
                  <pic:blipFill>
                    <a:blip r:embed="rId98" cstate="print"/>
                    <a:stretch>
                      <a:fillRect/>
                    </a:stretch>
                  </pic:blipFill>
                  <pic:spPr>
                    <a:xfrm>
                      <a:off x="0" y="0"/>
                      <a:ext cx="9107986" cy="6114764"/>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45A704AF" wp14:editId="336B95A7">
            <wp:extent cx="9107989" cy="5952744"/>
            <wp:effectExtent l="0" t="0" r="0" b="0"/>
            <wp:docPr id="179" name="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90.png"/>
                    <pic:cNvPicPr/>
                  </pic:nvPicPr>
                  <pic:blipFill>
                    <a:blip r:embed="rId99" cstate="print"/>
                    <a:stretch>
                      <a:fillRect/>
                    </a:stretch>
                  </pic:blipFill>
                  <pic:spPr>
                    <a:xfrm>
                      <a:off x="0" y="0"/>
                      <a:ext cx="9107989" cy="5952744"/>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4158E69C" wp14:editId="0A93B854">
            <wp:extent cx="9107986" cy="6030753"/>
            <wp:effectExtent l="0" t="0" r="0" b="0"/>
            <wp:docPr id="181" name="image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91.png"/>
                    <pic:cNvPicPr/>
                  </pic:nvPicPr>
                  <pic:blipFill>
                    <a:blip r:embed="rId100" cstate="print"/>
                    <a:stretch>
                      <a:fillRect/>
                    </a:stretch>
                  </pic:blipFill>
                  <pic:spPr>
                    <a:xfrm>
                      <a:off x="0" y="0"/>
                      <a:ext cx="9107986" cy="6030753"/>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60133732" wp14:editId="5C395A58">
            <wp:extent cx="9107989" cy="5970746"/>
            <wp:effectExtent l="0" t="0" r="0" b="0"/>
            <wp:docPr id="183" name="imag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92.png"/>
                    <pic:cNvPicPr/>
                  </pic:nvPicPr>
                  <pic:blipFill>
                    <a:blip r:embed="rId101" cstate="print"/>
                    <a:stretch>
                      <a:fillRect/>
                    </a:stretch>
                  </pic:blipFill>
                  <pic:spPr>
                    <a:xfrm>
                      <a:off x="0" y="0"/>
                      <a:ext cx="9107989" cy="5970746"/>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1F4BD25D" wp14:editId="3AD1FEF2">
            <wp:extent cx="9107986" cy="6126765"/>
            <wp:effectExtent l="0" t="0" r="0" b="0"/>
            <wp:docPr id="185"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93.png"/>
                    <pic:cNvPicPr/>
                  </pic:nvPicPr>
                  <pic:blipFill>
                    <a:blip r:embed="rId102" cstate="print"/>
                    <a:stretch>
                      <a:fillRect/>
                    </a:stretch>
                  </pic:blipFill>
                  <pic:spPr>
                    <a:xfrm>
                      <a:off x="0" y="0"/>
                      <a:ext cx="9107986" cy="6126765"/>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252E567E" wp14:editId="7DB8EBAC">
            <wp:extent cx="9107989" cy="6054756"/>
            <wp:effectExtent l="0" t="0" r="0" b="0"/>
            <wp:docPr id="187" name="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94.png"/>
                    <pic:cNvPicPr/>
                  </pic:nvPicPr>
                  <pic:blipFill>
                    <a:blip r:embed="rId103" cstate="print"/>
                    <a:stretch>
                      <a:fillRect/>
                    </a:stretch>
                  </pic:blipFill>
                  <pic:spPr>
                    <a:xfrm>
                      <a:off x="0" y="0"/>
                      <a:ext cx="9107989" cy="6054756"/>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3A3625C3" wp14:editId="4A53827B">
            <wp:extent cx="9107986" cy="6042755"/>
            <wp:effectExtent l="0" t="0" r="0" b="0"/>
            <wp:docPr id="189" name="image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95.png"/>
                    <pic:cNvPicPr/>
                  </pic:nvPicPr>
                  <pic:blipFill>
                    <a:blip r:embed="rId104" cstate="print"/>
                    <a:stretch>
                      <a:fillRect/>
                    </a:stretch>
                  </pic:blipFill>
                  <pic:spPr>
                    <a:xfrm>
                      <a:off x="0" y="0"/>
                      <a:ext cx="9107986" cy="6042755"/>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00C17DF5" wp14:editId="1A09C83E">
            <wp:extent cx="9107989" cy="6120765"/>
            <wp:effectExtent l="0" t="0" r="0" b="0"/>
            <wp:docPr id="191" name="image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96.png"/>
                    <pic:cNvPicPr/>
                  </pic:nvPicPr>
                  <pic:blipFill>
                    <a:blip r:embed="rId105" cstate="print"/>
                    <a:stretch>
                      <a:fillRect/>
                    </a:stretch>
                  </pic:blipFill>
                  <pic:spPr>
                    <a:xfrm>
                      <a:off x="0" y="0"/>
                      <a:ext cx="9107989" cy="6120765"/>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0453BAC2" wp14:editId="1B30675A">
            <wp:extent cx="9107986" cy="6108763"/>
            <wp:effectExtent l="0" t="0" r="0" b="0"/>
            <wp:docPr id="193"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97.png"/>
                    <pic:cNvPicPr/>
                  </pic:nvPicPr>
                  <pic:blipFill>
                    <a:blip r:embed="rId106" cstate="print"/>
                    <a:stretch>
                      <a:fillRect/>
                    </a:stretch>
                  </pic:blipFill>
                  <pic:spPr>
                    <a:xfrm>
                      <a:off x="0" y="0"/>
                      <a:ext cx="9107986" cy="6108763"/>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2AF9B2BD" wp14:editId="484ABFFC">
            <wp:extent cx="9107989" cy="6114764"/>
            <wp:effectExtent l="0" t="0" r="0" b="0"/>
            <wp:docPr id="195" name="image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98.png"/>
                    <pic:cNvPicPr/>
                  </pic:nvPicPr>
                  <pic:blipFill>
                    <a:blip r:embed="rId107" cstate="print"/>
                    <a:stretch>
                      <a:fillRect/>
                    </a:stretch>
                  </pic:blipFill>
                  <pic:spPr>
                    <a:xfrm>
                      <a:off x="0" y="0"/>
                      <a:ext cx="9107989" cy="6114764"/>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76B3F508" wp14:editId="70CC2B30">
            <wp:extent cx="9107986" cy="6090761"/>
            <wp:effectExtent l="0" t="0" r="0" b="0"/>
            <wp:docPr id="197" name="image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99.png"/>
                    <pic:cNvPicPr/>
                  </pic:nvPicPr>
                  <pic:blipFill>
                    <a:blip r:embed="rId108" cstate="print"/>
                    <a:stretch>
                      <a:fillRect/>
                    </a:stretch>
                  </pic:blipFill>
                  <pic:spPr>
                    <a:xfrm>
                      <a:off x="0" y="0"/>
                      <a:ext cx="9107986" cy="6090761"/>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63A1D73B" wp14:editId="52CAE9F2">
            <wp:extent cx="9107989" cy="6030753"/>
            <wp:effectExtent l="0" t="0" r="0" b="0"/>
            <wp:docPr id="199" name="image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00.png"/>
                    <pic:cNvPicPr/>
                  </pic:nvPicPr>
                  <pic:blipFill>
                    <a:blip r:embed="rId109" cstate="print"/>
                    <a:stretch>
                      <a:fillRect/>
                    </a:stretch>
                  </pic:blipFill>
                  <pic:spPr>
                    <a:xfrm>
                      <a:off x="0" y="0"/>
                      <a:ext cx="9107989" cy="6030753"/>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4D7DB7E3" wp14:editId="6B046A89">
            <wp:extent cx="9107986" cy="6042755"/>
            <wp:effectExtent l="0" t="0" r="0" b="0"/>
            <wp:docPr id="201"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01.png"/>
                    <pic:cNvPicPr/>
                  </pic:nvPicPr>
                  <pic:blipFill>
                    <a:blip r:embed="rId110" cstate="print"/>
                    <a:stretch>
                      <a:fillRect/>
                    </a:stretch>
                  </pic:blipFill>
                  <pic:spPr>
                    <a:xfrm>
                      <a:off x="0" y="0"/>
                      <a:ext cx="9107986" cy="6042755"/>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2377F944" wp14:editId="4CA263F8">
            <wp:extent cx="9107989" cy="6030753"/>
            <wp:effectExtent l="0" t="0" r="0" b="0"/>
            <wp:docPr id="203" name="image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02.png"/>
                    <pic:cNvPicPr/>
                  </pic:nvPicPr>
                  <pic:blipFill>
                    <a:blip r:embed="rId111" cstate="print"/>
                    <a:stretch>
                      <a:fillRect/>
                    </a:stretch>
                  </pic:blipFill>
                  <pic:spPr>
                    <a:xfrm>
                      <a:off x="0" y="0"/>
                      <a:ext cx="9107989" cy="6030753"/>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0CE1F8C3" wp14:editId="5411183F">
            <wp:extent cx="9107986" cy="6078759"/>
            <wp:effectExtent l="0" t="0" r="0" b="0"/>
            <wp:docPr id="205" name="image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03.png"/>
                    <pic:cNvPicPr/>
                  </pic:nvPicPr>
                  <pic:blipFill>
                    <a:blip r:embed="rId112" cstate="print"/>
                    <a:stretch>
                      <a:fillRect/>
                    </a:stretch>
                  </pic:blipFill>
                  <pic:spPr>
                    <a:xfrm>
                      <a:off x="0" y="0"/>
                      <a:ext cx="9107986" cy="6078759"/>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2EDC06B3" wp14:editId="49F9C463">
            <wp:extent cx="9107989" cy="6018752"/>
            <wp:effectExtent l="0" t="0" r="0" b="0"/>
            <wp:docPr id="207" name="image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04.png"/>
                    <pic:cNvPicPr/>
                  </pic:nvPicPr>
                  <pic:blipFill>
                    <a:blip r:embed="rId113" cstate="print"/>
                    <a:stretch>
                      <a:fillRect/>
                    </a:stretch>
                  </pic:blipFill>
                  <pic:spPr>
                    <a:xfrm>
                      <a:off x="0" y="0"/>
                      <a:ext cx="9107989" cy="6018752"/>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0DEFEF1F" wp14:editId="48B533FB">
            <wp:extent cx="9107986" cy="6060757"/>
            <wp:effectExtent l="0" t="0" r="0" b="0"/>
            <wp:docPr id="209" name="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05.png"/>
                    <pic:cNvPicPr/>
                  </pic:nvPicPr>
                  <pic:blipFill>
                    <a:blip r:embed="rId114" cstate="print"/>
                    <a:stretch>
                      <a:fillRect/>
                    </a:stretch>
                  </pic:blipFill>
                  <pic:spPr>
                    <a:xfrm>
                      <a:off x="0" y="0"/>
                      <a:ext cx="9107986" cy="6060757"/>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6A97F51B" wp14:editId="62A2ED3D">
            <wp:extent cx="9107989" cy="6102762"/>
            <wp:effectExtent l="0" t="0" r="0" b="0"/>
            <wp:docPr id="211" name="image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06.png"/>
                    <pic:cNvPicPr/>
                  </pic:nvPicPr>
                  <pic:blipFill>
                    <a:blip r:embed="rId115" cstate="print"/>
                    <a:stretch>
                      <a:fillRect/>
                    </a:stretch>
                  </pic:blipFill>
                  <pic:spPr>
                    <a:xfrm>
                      <a:off x="0" y="0"/>
                      <a:ext cx="9107989" cy="6102762"/>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1F743499" wp14:editId="48129997">
            <wp:extent cx="9107986" cy="6126765"/>
            <wp:effectExtent l="0" t="0" r="0" b="0"/>
            <wp:docPr id="213" name="image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07.png"/>
                    <pic:cNvPicPr/>
                  </pic:nvPicPr>
                  <pic:blipFill>
                    <a:blip r:embed="rId116" cstate="print"/>
                    <a:stretch>
                      <a:fillRect/>
                    </a:stretch>
                  </pic:blipFill>
                  <pic:spPr>
                    <a:xfrm>
                      <a:off x="0" y="0"/>
                      <a:ext cx="9107986" cy="6126765"/>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0C9AFEB0" wp14:editId="31296EB2">
            <wp:extent cx="9107989" cy="5520690"/>
            <wp:effectExtent l="0" t="0" r="0" b="0"/>
            <wp:docPr id="215" name="image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08.png"/>
                    <pic:cNvPicPr/>
                  </pic:nvPicPr>
                  <pic:blipFill>
                    <a:blip r:embed="rId117" cstate="print"/>
                    <a:stretch>
                      <a:fillRect/>
                    </a:stretch>
                  </pic:blipFill>
                  <pic:spPr>
                    <a:xfrm>
                      <a:off x="0" y="0"/>
                      <a:ext cx="9107989" cy="5520690"/>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1D886474" wp14:editId="14827C0D">
            <wp:extent cx="9107986" cy="6036754"/>
            <wp:effectExtent l="0" t="0" r="0" b="0"/>
            <wp:docPr id="217" name="image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09.png"/>
                    <pic:cNvPicPr/>
                  </pic:nvPicPr>
                  <pic:blipFill>
                    <a:blip r:embed="rId118" cstate="print"/>
                    <a:stretch>
                      <a:fillRect/>
                    </a:stretch>
                  </pic:blipFill>
                  <pic:spPr>
                    <a:xfrm>
                      <a:off x="0" y="0"/>
                      <a:ext cx="9107986" cy="6036754"/>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6CDDC441" wp14:editId="12BEE109">
            <wp:extent cx="9107989" cy="6126765"/>
            <wp:effectExtent l="0" t="0" r="0" b="0"/>
            <wp:docPr id="219" name="image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10.png"/>
                    <pic:cNvPicPr/>
                  </pic:nvPicPr>
                  <pic:blipFill>
                    <a:blip r:embed="rId119" cstate="print"/>
                    <a:stretch>
                      <a:fillRect/>
                    </a:stretch>
                  </pic:blipFill>
                  <pic:spPr>
                    <a:xfrm>
                      <a:off x="0" y="0"/>
                      <a:ext cx="9107989" cy="6126765"/>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3FCBCDA4" wp14:editId="089CEF56">
            <wp:extent cx="9107986" cy="5988748"/>
            <wp:effectExtent l="0" t="0" r="0" b="0"/>
            <wp:docPr id="221" name="image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11.png"/>
                    <pic:cNvPicPr/>
                  </pic:nvPicPr>
                  <pic:blipFill>
                    <a:blip r:embed="rId120" cstate="print"/>
                    <a:stretch>
                      <a:fillRect/>
                    </a:stretch>
                  </pic:blipFill>
                  <pic:spPr>
                    <a:xfrm>
                      <a:off x="0" y="0"/>
                      <a:ext cx="9107986" cy="5988748"/>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07967928" wp14:editId="32B2AEE0">
            <wp:extent cx="9107989" cy="5898737"/>
            <wp:effectExtent l="0" t="0" r="0" b="0"/>
            <wp:docPr id="223" name="image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12.png"/>
                    <pic:cNvPicPr/>
                  </pic:nvPicPr>
                  <pic:blipFill>
                    <a:blip r:embed="rId121" cstate="print"/>
                    <a:stretch>
                      <a:fillRect/>
                    </a:stretch>
                  </pic:blipFill>
                  <pic:spPr>
                    <a:xfrm>
                      <a:off x="0" y="0"/>
                      <a:ext cx="9107989" cy="5898737"/>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0BEB9BD3" wp14:editId="68C595F6">
            <wp:extent cx="9107986" cy="6048756"/>
            <wp:effectExtent l="0" t="0" r="0" b="0"/>
            <wp:docPr id="225"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113.png"/>
                    <pic:cNvPicPr/>
                  </pic:nvPicPr>
                  <pic:blipFill>
                    <a:blip r:embed="rId122" cstate="print"/>
                    <a:stretch>
                      <a:fillRect/>
                    </a:stretch>
                  </pic:blipFill>
                  <pic:spPr>
                    <a:xfrm>
                      <a:off x="0" y="0"/>
                      <a:ext cx="9107986" cy="6048756"/>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7F16F3ED" wp14:editId="2E98CB14">
            <wp:extent cx="9107989" cy="6054756"/>
            <wp:effectExtent l="0" t="0" r="0" b="0"/>
            <wp:docPr id="227" name="image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114.png"/>
                    <pic:cNvPicPr/>
                  </pic:nvPicPr>
                  <pic:blipFill>
                    <a:blip r:embed="rId123" cstate="print"/>
                    <a:stretch>
                      <a:fillRect/>
                    </a:stretch>
                  </pic:blipFill>
                  <pic:spPr>
                    <a:xfrm>
                      <a:off x="0" y="0"/>
                      <a:ext cx="9107989" cy="6054756"/>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36B37B09" wp14:editId="1E83C7A9">
            <wp:extent cx="9107986" cy="6054756"/>
            <wp:effectExtent l="0" t="0" r="0" b="0"/>
            <wp:docPr id="229" name="image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15.png"/>
                    <pic:cNvPicPr/>
                  </pic:nvPicPr>
                  <pic:blipFill>
                    <a:blip r:embed="rId124" cstate="print"/>
                    <a:stretch>
                      <a:fillRect/>
                    </a:stretch>
                  </pic:blipFill>
                  <pic:spPr>
                    <a:xfrm>
                      <a:off x="0" y="0"/>
                      <a:ext cx="9107986" cy="6054756"/>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408F6B7F" wp14:editId="591BBD74">
            <wp:extent cx="9107989" cy="6090761"/>
            <wp:effectExtent l="0" t="0" r="0" b="0"/>
            <wp:docPr id="231" name="image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16.png"/>
                    <pic:cNvPicPr/>
                  </pic:nvPicPr>
                  <pic:blipFill>
                    <a:blip r:embed="rId125" cstate="print"/>
                    <a:stretch>
                      <a:fillRect/>
                    </a:stretch>
                  </pic:blipFill>
                  <pic:spPr>
                    <a:xfrm>
                      <a:off x="0" y="0"/>
                      <a:ext cx="9107989" cy="6090761"/>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183FEE93" wp14:editId="67B0324D">
            <wp:extent cx="9107986" cy="6120765"/>
            <wp:effectExtent l="0" t="0" r="0" b="0"/>
            <wp:docPr id="233"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17.png"/>
                    <pic:cNvPicPr/>
                  </pic:nvPicPr>
                  <pic:blipFill>
                    <a:blip r:embed="rId126" cstate="print"/>
                    <a:stretch>
                      <a:fillRect/>
                    </a:stretch>
                  </pic:blipFill>
                  <pic:spPr>
                    <a:xfrm>
                      <a:off x="0" y="0"/>
                      <a:ext cx="9107986" cy="6120765"/>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6D8696F3" wp14:editId="5F59E674">
            <wp:extent cx="9107989" cy="6042755"/>
            <wp:effectExtent l="0" t="0" r="0" b="0"/>
            <wp:docPr id="235" name="image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118.png"/>
                    <pic:cNvPicPr/>
                  </pic:nvPicPr>
                  <pic:blipFill>
                    <a:blip r:embed="rId127" cstate="print"/>
                    <a:stretch>
                      <a:fillRect/>
                    </a:stretch>
                  </pic:blipFill>
                  <pic:spPr>
                    <a:xfrm>
                      <a:off x="0" y="0"/>
                      <a:ext cx="9107989" cy="6042755"/>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16EAEBDA" wp14:editId="4D66B966">
            <wp:extent cx="9107986" cy="6096762"/>
            <wp:effectExtent l="0" t="0" r="0" b="0"/>
            <wp:docPr id="237"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119.png"/>
                    <pic:cNvPicPr/>
                  </pic:nvPicPr>
                  <pic:blipFill>
                    <a:blip r:embed="rId128" cstate="print"/>
                    <a:stretch>
                      <a:fillRect/>
                    </a:stretch>
                  </pic:blipFill>
                  <pic:spPr>
                    <a:xfrm>
                      <a:off x="0" y="0"/>
                      <a:ext cx="9107986" cy="6096762"/>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78E36886" wp14:editId="472DE127">
            <wp:extent cx="9107989" cy="5964745"/>
            <wp:effectExtent l="0" t="0" r="0" b="0"/>
            <wp:docPr id="239" name="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20.png"/>
                    <pic:cNvPicPr/>
                  </pic:nvPicPr>
                  <pic:blipFill>
                    <a:blip r:embed="rId129" cstate="print"/>
                    <a:stretch>
                      <a:fillRect/>
                    </a:stretch>
                  </pic:blipFill>
                  <pic:spPr>
                    <a:xfrm>
                      <a:off x="0" y="0"/>
                      <a:ext cx="9107989" cy="5964745"/>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46237467" wp14:editId="59356816">
            <wp:extent cx="9107986" cy="6108763"/>
            <wp:effectExtent l="0" t="0" r="0" b="0"/>
            <wp:docPr id="241"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21.png"/>
                    <pic:cNvPicPr/>
                  </pic:nvPicPr>
                  <pic:blipFill>
                    <a:blip r:embed="rId130" cstate="print"/>
                    <a:stretch>
                      <a:fillRect/>
                    </a:stretch>
                  </pic:blipFill>
                  <pic:spPr>
                    <a:xfrm>
                      <a:off x="0" y="0"/>
                      <a:ext cx="9107986" cy="6108763"/>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70E6F792" wp14:editId="67B4853C">
            <wp:extent cx="9107989" cy="6126765"/>
            <wp:effectExtent l="0" t="0" r="0" b="0"/>
            <wp:docPr id="243" name="image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22.png"/>
                    <pic:cNvPicPr/>
                  </pic:nvPicPr>
                  <pic:blipFill>
                    <a:blip r:embed="rId131" cstate="print"/>
                    <a:stretch>
                      <a:fillRect/>
                    </a:stretch>
                  </pic:blipFill>
                  <pic:spPr>
                    <a:xfrm>
                      <a:off x="0" y="0"/>
                      <a:ext cx="9107989" cy="6126765"/>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13684FE7" wp14:editId="23CE031F">
            <wp:extent cx="9107986" cy="6024753"/>
            <wp:effectExtent l="0" t="0" r="0" b="0"/>
            <wp:docPr id="245" name="image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123.png"/>
                    <pic:cNvPicPr/>
                  </pic:nvPicPr>
                  <pic:blipFill>
                    <a:blip r:embed="rId132" cstate="print"/>
                    <a:stretch>
                      <a:fillRect/>
                    </a:stretch>
                  </pic:blipFill>
                  <pic:spPr>
                    <a:xfrm>
                      <a:off x="0" y="0"/>
                      <a:ext cx="9107986" cy="6024753"/>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315A8A90" wp14:editId="79828908">
            <wp:extent cx="9107989" cy="6054756"/>
            <wp:effectExtent l="0" t="0" r="0" b="0"/>
            <wp:docPr id="247" name="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124.png"/>
                    <pic:cNvPicPr/>
                  </pic:nvPicPr>
                  <pic:blipFill>
                    <a:blip r:embed="rId133" cstate="print"/>
                    <a:stretch>
                      <a:fillRect/>
                    </a:stretch>
                  </pic:blipFill>
                  <pic:spPr>
                    <a:xfrm>
                      <a:off x="0" y="0"/>
                      <a:ext cx="9107989" cy="6054756"/>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1FCFE621" wp14:editId="05BC3AF6">
            <wp:extent cx="9107986" cy="6102762"/>
            <wp:effectExtent l="0" t="0" r="0" b="0"/>
            <wp:docPr id="249"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25.png"/>
                    <pic:cNvPicPr/>
                  </pic:nvPicPr>
                  <pic:blipFill>
                    <a:blip r:embed="rId134" cstate="print"/>
                    <a:stretch>
                      <a:fillRect/>
                    </a:stretch>
                  </pic:blipFill>
                  <pic:spPr>
                    <a:xfrm>
                      <a:off x="0" y="0"/>
                      <a:ext cx="9107986" cy="6102762"/>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212EA0F9" wp14:editId="14E22D60">
            <wp:extent cx="9107989" cy="6006750"/>
            <wp:effectExtent l="0" t="0" r="0" b="0"/>
            <wp:docPr id="251" name="image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26.png"/>
                    <pic:cNvPicPr/>
                  </pic:nvPicPr>
                  <pic:blipFill>
                    <a:blip r:embed="rId135" cstate="print"/>
                    <a:stretch>
                      <a:fillRect/>
                    </a:stretch>
                  </pic:blipFill>
                  <pic:spPr>
                    <a:xfrm>
                      <a:off x="0" y="0"/>
                      <a:ext cx="9107989" cy="6006750"/>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43F38933" wp14:editId="70E354BF">
            <wp:extent cx="9107986" cy="6084760"/>
            <wp:effectExtent l="0" t="0" r="0" b="0"/>
            <wp:docPr id="253" name="image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127.png"/>
                    <pic:cNvPicPr/>
                  </pic:nvPicPr>
                  <pic:blipFill>
                    <a:blip r:embed="rId136" cstate="print"/>
                    <a:stretch>
                      <a:fillRect/>
                    </a:stretch>
                  </pic:blipFill>
                  <pic:spPr>
                    <a:xfrm>
                      <a:off x="0" y="0"/>
                      <a:ext cx="9107986" cy="6084760"/>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drawing>
          <wp:inline distT="0" distB="0" distL="0" distR="0" wp14:anchorId="5C3720D1" wp14:editId="49F2CE76">
            <wp:extent cx="9107989" cy="6072759"/>
            <wp:effectExtent l="0" t="0" r="0" b="0"/>
            <wp:docPr id="255" name="image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128.png"/>
                    <pic:cNvPicPr/>
                  </pic:nvPicPr>
                  <pic:blipFill>
                    <a:blip r:embed="rId137" cstate="print"/>
                    <a:stretch>
                      <a:fillRect/>
                    </a:stretch>
                  </pic:blipFill>
                  <pic:spPr>
                    <a:xfrm>
                      <a:off x="0" y="0"/>
                      <a:ext cx="9107989" cy="6072759"/>
                    </a:xfrm>
                    <a:prstGeom prst="rect">
                      <a:avLst/>
                    </a:prstGeom>
                  </pic:spPr>
                </pic:pic>
              </a:graphicData>
            </a:graphic>
          </wp:inline>
        </w:drawing>
      </w:r>
    </w:p>
    <w:p w:rsidR="00D23D60" w:rsidRPr="007E52B2" w:rsidRDefault="00D23D60" w:rsidP="00D23D60">
      <w:pPr>
        <w:rPr>
          <w:rFonts w:ascii="Arial" w:hAnsi="Arial" w:cs="Arial"/>
          <w:sz w:val="20"/>
          <w:szCs w:val="20"/>
        </w:rPr>
        <w:sectPr w:rsidR="00D23D60" w:rsidRPr="007E52B2">
          <w:pgSz w:w="15690" w:h="12480" w:orient="landscape"/>
          <w:pgMar w:top="1160" w:right="200" w:bottom="280" w:left="700" w:header="720" w:footer="720" w:gutter="0"/>
          <w:cols w:space="720"/>
        </w:sect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02E76B39" wp14:editId="030921D5">
            <wp:extent cx="9107986" cy="6120765"/>
            <wp:effectExtent l="0" t="0" r="0" b="0"/>
            <wp:docPr id="257" name="image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29.png"/>
                    <pic:cNvPicPr/>
                  </pic:nvPicPr>
                  <pic:blipFill>
                    <a:blip r:embed="rId138" cstate="print"/>
                    <a:stretch>
                      <a:fillRect/>
                    </a:stretch>
                  </pic:blipFill>
                  <pic:spPr>
                    <a:xfrm>
                      <a:off x="0" y="0"/>
                      <a:ext cx="9107986" cy="6120765"/>
                    </a:xfrm>
                    <a:prstGeom prst="rect">
                      <a:avLst/>
                    </a:prstGeom>
                  </pic:spPr>
                </pic:pic>
              </a:graphicData>
            </a:graphic>
          </wp:inline>
        </w:drawing>
      </w:r>
    </w:p>
    <w:p w:rsidR="00D23D60" w:rsidRPr="007E52B2" w:rsidRDefault="00D23D60" w:rsidP="00D23D60">
      <w:pPr>
        <w:rPr>
          <w:rFonts w:ascii="Arial" w:hAnsi="Arial" w:cs="Arial"/>
          <w:sz w:val="20"/>
          <w:szCs w:val="20"/>
          <w:lang w:val="sr-Cyrl-RS"/>
        </w:rPr>
      </w:pPr>
    </w:p>
    <w:p w:rsidR="007E0789" w:rsidRPr="007E52B2" w:rsidRDefault="007E0789" w:rsidP="00D23D60">
      <w:pPr>
        <w:rPr>
          <w:rFonts w:ascii="Arial" w:hAnsi="Arial" w:cs="Arial"/>
          <w:sz w:val="20"/>
          <w:szCs w:val="20"/>
          <w:lang w:val="sr-Cyrl-RS"/>
        </w:rPr>
        <w:sectPr w:rsidR="007E0789" w:rsidRPr="007E52B2">
          <w:pgSz w:w="15690" w:h="12480" w:orient="landscape"/>
          <w:pgMar w:top="920" w:right="200" w:bottom="280" w:left="700" w:header="720" w:footer="720" w:gutter="0"/>
          <w:cols w:space="720"/>
        </w:sectPr>
      </w:pPr>
    </w:p>
    <w:p w:rsidR="00D23D60" w:rsidRPr="007E52B2" w:rsidRDefault="00D23D60" w:rsidP="00D23D60">
      <w:pPr>
        <w:spacing w:before="5"/>
        <w:rPr>
          <w:rFonts w:ascii="Arial" w:hAnsi="Arial" w:cs="Arial"/>
          <w:sz w:val="20"/>
          <w:szCs w:val="20"/>
        </w:rPr>
      </w:pPr>
    </w:p>
    <w:p w:rsidR="00D23D60" w:rsidRPr="007E52B2" w:rsidRDefault="00D23D60" w:rsidP="00D23D60">
      <w:pPr>
        <w:ind w:left="113"/>
        <w:rPr>
          <w:rFonts w:ascii="Arial" w:hAnsi="Arial" w:cs="Arial"/>
          <w:sz w:val="20"/>
          <w:szCs w:val="20"/>
        </w:rPr>
      </w:pPr>
      <w:r w:rsidRPr="007E52B2">
        <w:rPr>
          <w:rFonts w:ascii="Arial" w:hAnsi="Arial" w:cs="Arial"/>
          <w:noProof/>
          <w:sz w:val="20"/>
          <w:szCs w:val="20"/>
        </w:rPr>
        <w:lastRenderedPageBreak/>
        <w:drawing>
          <wp:inline distT="0" distB="0" distL="0" distR="0" wp14:anchorId="10639DBC" wp14:editId="58A6E5FF">
            <wp:extent cx="9107989" cy="1002125"/>
            <wp:effectExtent l="0" t="0" r="0" b="0"/>
            <wp:docPr id="259" name="image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130.png"/>
                    <pic:cNvPicPr/>
                  </pic:nvPicPr>
                  <pic:blipFill>
                    <a:blip r:embed="rId139" cstate="print"/>
                    <a:stretch>
                      <a:fillRect/>
                    </a:stretch>
                  </pic:blipFill>
                  <pic:spPr>
                    <a:xfrm>
                      <a:off x="0" y="0"/>
                      <a:ext cx="9107989" cy="1002125"/>
                    </a:xfrm>
                    <a:prstGeom prst="rect">
                      <a:avLst/>
                    </a:prstGeom>
                  </pic:spPr>
                </pic:pic>
              </a:graphicData>
            </a:graphic>
          </wp:inline>
        </w:drawing>
      </w:r>
    </w:p>
    <w:p w:rsidR="00D23D60" w:rsidRPr="007E52B2" w:rsidRDefault="00D23D60" w:rsidP="00D23D60">
      <w:pPr>
        <w:pStyle w:val="Normal1"/>
        <w:rPr>
          <w:sz w:val="20"/>
          <w:szCs w:val="20"/>
          <w:lang w:val="sr-Cyrl-RS"/>
        </w:rPr>
      </w:pPr>
    </w:p>
    <w:sectPr w:rsidR="00D23D60" w:rsidRPr="007E52B2" w:rsidSect="007E0789">
      <w:type w:val="continuous"/>
      <w:pgSz w:w="15690" w:h="12480" w:orient="landscape"/>
      <w:pgMar w:top="743" w:right="278" w:bottom="743" w:left="567"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A21F2" w:rsidRDefault="007A21F2" w:rsidP="00E621AF">
      <w:r>
        <w:separator/>
      </w:r>
    </w:p>
  </w:endnote>
  <w:endnote w:type="continuationSeparator" w:id="0">
    <w:p w:rsidR="007A21F2" w:rsidRDefault="007A21F2" w:rsidP="00E621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Arial Bold">
    <w:panose1 w:val="00000000000000000000"/>
    <w:charset w:val="00"/>
    <w:family w:val="roman"/>
    <w:notTrueType/>
    <w:pitch w:val="default"/>
    <w:sig w:usb0="00000003" w:usb1="00000000" w:usb2="00000000" w:usb3="00000000" w:csb0="00000001" w:csb1="00000000"/>
  </w:font>
  <w:font w:name="Garamond">
    <w:panose1 w:val="02020404030301010803"/>
    <w:charset w:val="EE"/>
    <w:family w:val="roman"/>
    <w:pitch w:val="variable"/>
    <w:sig w:usb0="00000287" w:usb1="00000000" w:usb2="00000000" w:usb3="00000000" w:csb0="0000009F" w:csb1="00000000"/>
  </w:font>
  <w:font w:name="Verdana">
    <w:panose1 w:val="020B0604030504040204"/>
    <w:charset w:val="EE"/>
    <w:family w:val="swiss"/>
    <w:pitch w:val="variable"/>
    <w:sig w:usb0="A00006FF" w:usb1="4000205B" w:usb2="00000010" w:usb3="00000000" w:csb0="0000019F" w:csb1="00000000"/>
  </w:font>
  <w:font w:name="Segoe UI">
    <w:panose1 w:val="020B0502040204020203"/>
    <w:charset w:val="EE"/>
    <w:family w:val="swiss"/>
    <w:pitch w:val="variable"/>
    <w:sig w:usb0="E4002EFF" w:usb1="C000E47F" w:usb2="00000009" w:usb3="00000000" w:csb0="000001FF" w:csb1="00000000"/>
  </w:font>
  <w:font w:name="TimesNewRomanPSMT">
    <w:altName w:val="Times New Roman"/>
    <w:panose1 w:val="00000000000000000000"/>
    <w:charset w:val="00"/>
    <w:family w:val="roman"/>
    <w:notTrueType/>
    <w:pitch w:val="default"/>
  </w:font>
  <w:font w:name="Cambria">
    <w:panose1 w:val="02040503050406030204"/>
    <w:charset w:val="EE"/>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A21F2" w:rsidRDefault="007A21F2" w:rsidP="00E621AF">
      <w:r>
        <w:separator/>
      </w:r>
    </w:p>
  </w:footnote>
  <w:footnote w:type="continuationSeparator" w:id="0">
    <w:p w:rsidR="007A21F2" w:rsidRDefault="007A21F2" w:rsidP="00E621A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B0011A9"/>
    <w:multiLevelType w:val="hybridMultilevel"/>
    <w:tmpl w:val="9FB2D672"/>
    <w:lvl w:ilvl="0" w:tplc="7E089D78">
      <w:start w:val="1"/>
      <w:numFmt w:val="decimal"/>
      <w:pStyle w:val="a"/>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409847B2"/>
    <w:multiLevelType w:val="hybridMultilevel"/>
    <w:tmpl w:val="97D081FA"/>
    <w:lvl w:ilvl="0" w:tplc="FD76362A">
      <w:start w:val="1"/>
      <w:numFmt w:val="decimal"/>
      <w:lvlText w:val="%1)"/>
      <w:lvlJc w:val="left"/>
      <w:pPr>
        <w:ind w:left="43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6DEC960E">
      <w:start w:val="1"/>
      <w:numFmt w:val="lowerLetter"/>
      <w:lvlText w:val="%2"/>
      <w:lvlJc w:val="left"/>
      <w:pPr>
        <w:ind w:left="158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FE0CB672">
      <w:start w:val="1"/>
      <w:numFmt w:val="lowerRoman"/>
      <w:lvlText w:val="%3"/>
      <w:lvlJc w:val="left"/>
      <w:pPr>
        <w:ind w:left="230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DDA6EA82">
      <w:start w:val="1"/>
      <w:numFmt w:val="decimal"/>
      <w:lvlText w:val="%4"/>
      <w:lvlJc w:val="left"/>
      <w:pPr>
        <w:ind w:left="302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04E64C60">
      <w:start w:val="1"/>
      <w:numFmt w:val="lowerLetter"/>
      <w:lvlText w:val="%5"/>
      <w:lvlJc w:val="left"/>
      <w:pPr>
        <w:ind w:left="374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5E066494">
      <w:start w:val="1"/>
      <w:numFmt w:val="lowerRoman"/>
      <w:lvlText w:val="%6"/>
      <w:lvlJc w:val="left"/>
      <w:pPr>
        <w:ind w:left="446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EBC8E9DA">
      <w:start w:val="1"/>
      <w:numFmt w:val="decimal"/>
      <w:lvlText w:val="%7"/>
      <w:lvlJc w:val="left"/>
      <w:pPr>
        <w:ind w:left="518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EA32FFC8">
      <w:start w:val="1"/>
      <w:numFmt w:val="lowerLetter"/>
      <w:lvlText w:val="%8"/>
      <w:lvlJc w:val="left"/>
      <w:pPr>
        <w:ind w:left="590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2A88263C">
      <w:start w:val="1"/>
      <w:numFmt w:val="lowerRoman"/>
      <w:lvlText w:val="%9"/>
      <w:lvlJc w:val="left"/>
      <w:pPr>
        <w:ind w:left="662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2">
    <w:nsid w:val="46783C98"/>
    <w:multiLevelType w:val="multilevel"/>
    <w:tmpl w:val="CF66FE30"/>
    <w:lvl w:ilvl="0">
      <w:start w:val="1"/>
      <w:numFmt w:val="decimal"/>
      <w:lvlText w:val="%1."/>
      <w:lvlJc w:val="left"/>
      <w:pPr>
        <w:ind w:left="790" w:hanging="341"/>
      </w:pPr>
      <w:rPr>
        <w:rFonts w:hint="default"/>
        <w:spacing w:val="0"/>
        <w:w w:val="100"/>
        <w:lang w:eastAsia="en-US" w:bidi="ar-SA"/>
      </w:rPr>
    </w:lvl>
    <w:lvl w:ilvl="1">
      <w:start w:val="1"/>
      <w:numFmt w:val="decimal"/>
      <w:lvlText w:val="%1.%2."/>
      <w:lvlJc w:val="left"/>
      <w:pPr>
        <w:ind w:left="1105" w:hanging="315"/>
      </w:pPr>
      <w:rPr>
        <w:rFonts w:ascii="Times New Roman" w:eastAsia="Times New Roman" w:hAnsi="Times New Roman" w:cs="Times New Roman" w:hint="default"/>
        <w:b w:val="0"/>
        <w:bCs w:val="0"/>
        <w:i w:val="0"/>
        <w:iCs w:val="0"/>
        <w:spacing w:val="0"/>
        <w:w w:val="100"/>
        <w:sz w:val="18"/>
        <w:szCs w:val="18"/>
        <w:lang w:eastAsia="en-US" w:bidi="ar-SA"/>
      </w:rPr>
    </w:lvl>
    <w:lvl w:ilvl="2">
      <w:start w:val="1"/>
      <w:numFmt w:val="decimal"/>
      <w:lvlText w:val="%1.%2.%3."/>
      <w:lvlJc w:val="left"/>
      <w:pPr>
        <w:ind w:left="1240" w:hanging="450"/>
      </w:pPr>
      <w:rPr>
        <w:rFonts w:ascii="Times New Roman" w:eastAsia="Times New Roman" w:hAnsi="Times New Roman" w:cs="Times New Roman" w:hint="default"/>
        <w:b w:val="0"/>
        <w:bCs w:val="0"/>
        <w:i/>
        <w:iCs/>
        <w:spacing w:val="0"/>
        <w:w w:val="100"/>
        <w:sz w:val="18"/>
        <w:szCs w:val="18"/>
        <w:lang w:eastAsia="en-US" w:bidi="ar-SA"/>
      </w:rPr>
    </w:lvl>
    <w:lvl w:ilvl="3">
      <w:numFmt w:val="bullet"/>
      <w:lvlText w:val="•"/>
      <w:lvlJc w:val="left"/>
      <w:pPr>
        <w:ind w:left="1764" w:hanging="450"/>
      </w:pPr>
      <w:rPr>
        <w:rFonts w:hint="default"/>
        <w:lang w:eastAsia="en-US" w:bidi="ar-SA"/>
      </w:rPr>
    </w:lvl>
    <w:lvl w:ilvl="4">
      <w:numFmt w:val="bullet"/>
      <w:lvlText w:val="•"/>
      <w:lvlJc w:val="left"/>
      <w:pPr>
        <w:ind w:left="2289" w:hanging="450"/>
      </w:pPr>
      <w:rPr>
        <w:rFonts w:hint="default"/>
        <w:lang w:eastAsia="en-US" w:bidi="ar-SA"/>
      </w:rPr>
    </w:lvl>
    <w:lvl w:ilvl="5">
      <w:numFmt w:val="bullet"/>
      <w:lvlText w:val="•"/>
      <w:lvlJc w:val="left"/>
      <w:pPr>
        <w:ind w:left="2814" w:hanging="450"/>
      </w:pPr>
      <w:rPr>
        <w:rFonts w:hint="default"/>
        <w:lang w:eastAsia="en-US" w:bidi="ar-SA"/>
      </w:rPr>
    </w:lvl>
    <w:lvl w:ilvl="6">
      <w:numFmt w:val="bullet"/>
      <w:lvlText w:val="•"/>
      <w:lvlJc w:val="left"/>
      <w:pPr>
        <w:ind w:left="3339" w:hanging="450"/>
      </w:pPr>
      <w:rPr>
        <w:rFonts w:hint="default"/>
        <w:lang w:eastAsia="en-US" w:bidi="ar-SA"/>
      </w:rPr>
    </w:lvl>
    <w:lvl w:ilvl="7">
      <w:numFmt w:val="bullet"/>
      <w:lvlText w:val="•"/>
      <w:lvlJc w:val="left"/>
      <w:pPr>
        <w:ind w:left="3864" w:hanging="450"/>
      </w:pPr>
      <w:rPr>
        <w:rFonts w:hint="default"/>
        <w:lang w:eastAsia="en-US" w:bidi="ar-SA"/>
      </w:rPr>
    </w:lvl>
    <w:lvl w:ilvl="8">
      <w:numFmt w:val="bullet"/>
      <w:lvlText w:val="•"/>
      <w:lvlJc w:val="left"/>
      <w:pPr>
        <w:ind w:left="4389" w:hanging="450"/>
      </w:pPr>
      <w:rPr>
        <w:rFonts w:hint="default"/>
        <w:lang w:eastAsia="en-US" w:bidi="ar-SA"/>
      </w:rPr>
    </w:lvl>
  </w:abstractNum>
  <w:abstractNum w:abstractNumId="3">
    <w:nsid w:val="6EDC3C82"/>
    <w:multiLevelType w:val="hybridMultilevel"/>
    <w:tmpl w:val="458C711E"/>
    <w:lvl w:ilvl="0" w:tplc="F9FA6E52">
      <w:start w:val="1"/>
      <w:numFmt w:val="bullet"/>
      <w:pStyle w:val="00Nabrajanja"/>
      <w:lvlText w:val=""/>
      <w:lvlJc w:val="left"/>
      <w:pPr>
        <w:ind w:left="3594"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hideSpellingErrors/>
  <w:hideGrammaticalErrors/>
  <w:proofState w:grammar="clean"/>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
  <w:rsids>
    <w:rsidRoot w:val="006150AB"/>
    <w:rsid w:val="002B25F1"/>
    <w:rsid w:val="003750F5"/>
    <w:rsid w:val="003F20A9"/>
    <w:rsid w:val="00606F5D"/>
    <w:rsid w:val="006150AB"/>
    <w:rsid w:val="006626C5"/>
    <w:rsid w:val="00715A39"/>
    <w:rsid w:val="007A21F2"/>
    <w:rsid w:val="007E0789"/>
    <w:rsid w:val="007E52B2"/>
    <w:rsid w:val="007F655C"/>
    <w:rsid w:val="00855F57"/>
    <w:rsid w:val="008F43F5"/>
    <w:rsid w:val="009A1F17"/>
    <w:rsid w:val="009E17AD"/>
    <w:rsid w:val="00A303D8"/>
    <w:rsid w:val="00A3252E"/>
    <w:rsid w:val="00B34C0C"/>
    <w:rsid w:val="00B86859"/>
    <w:rsid w:val="00BB2E57"/>
    <w:rsid w:val="00BC5B96"/>
    <w:rsid w:val="00D23D60"/>
    <w:rsid w:val="00E621AF"/>
    <w:rsid w:val="00F01995"/>
    <w:rsid w:val="00F65DDB"/>
    <w:rsid w:val="00F943AF"/>
  </w:rsids>
  <m:mathPr>
    <m:mathFont m:val="Cambria Math"/>
    <m:brkBin m:val="before"/>
    <m:brkBinSub m:val="--"/>
    <m:smallFrac m:val="0"/>
    <m:dispDef/>
    <m:lMargin m:val="0"/>
    <m:rMargin m:val="0"/>
    <m:defJc m:val="centerGroup"/>
    <m:wrapIndent m:val="1440"/>
    <m:intLim m:val="subSup"/>
    <m:naryLim m:val="undOvr"/>
  </m:mathPr>
  <w:themeFontLang w:val="sr-Latn-R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footer"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Times New Roman" w:eastAsia="Times New Roman" w:hAnsi="Times New Roman" w:cs="Times New Roman"/>
    </w:rPr>
  </w:style>
  <w:style w:type="paragraph" w:styleId="Heading1">
    <w:name w:val="heading 1"/>
    <w:basedOn w:val="Normal"/>
    <w:next w:val="Normal"/>
    <w:link w:val="Heading1Char"/>
    <w:uiPriority w:val="9"/>
    <w:qFormat/>
    <w:rsid w:val="00E621AF"/>
    <w:pPr>
      <w:keepNext/>
      <w:keepLines/>
      <w:widowControl/>
      <w:autoSpaceDE/>
      <w:autoSpaceDN/>
      <w:spacing w:before="480" w:after="200" w:line="276" w:lineRule="auto"/>
      <w:outlineLvl w:val="0"/>
    </w:pPr>
    <w:rPr>
      <w:rFonts w:ascii="Calibri Light" w:hAnsi="Calibri Light"/>
      <w:b/>
      <w:bCs/>
      <w:color w:val="2E74B5"/>
      <w:sz w:val="28"/>
      <w:szCs w:val="28"/>
    </w:rPr>
  </w:style>
  <w:style w:type="paragraph" w:styleId="Heading2">
    <w:name w:val="heading 2"/>
    <w:basedOn w:val="Normal"/>
    <w:next w:val="Normal"/>
    <w:link w:val="Heading2Char"/>
    <w:uiPriority w:val="9"/>
    <w:unhideWhenUsed/>
    <w:qFormat/>
    <w:rsid w:val="00E621AF"/>
    <w:pPr>
      <w:keepNext/>
      <w:keepLines/>
      <w:widowControl/>
      <w:autoSpaceDE/>
      <w:autoSpaceDN/>
      <w:spacing w:before="200" w:after="200" w:line="276" w:lineRule="auto"/>
      <w:outlineLvl w:val="1"/>
    </w:pPr>
    <w:rPr>
      <w:rFonts w:ascii="Calibri Light" w:hAnsi="Calibri Light"/>
      <w:b/>
      <w:bCs/>
      <w:color w:val="5B9BD5"/>
      <w:sz w:val="26"/>
      <w:szCs w:val="26"/>
    </w:rPr>
  </w:style>
  <w:style w:type="paragraph" w:styleId="Heading3">
    <w:name w:val="heading 3"/>
    <w:basedOn w:val="Normal"/>
    <w:next w:val="Normal"/>
    <w:link w:val="Heading3Char"/>
    <w:uiPriority w:val="9"/>
    <w:unhideWhenUsed/>
    <w:qFormat/>
    <w:rsid w:val="00E621AF"/>
    <w:pPr>
      <w:keepNext/>
      <w:keepLines/>
      <w:widowControl/>
      <w:autoSpaceDE/>
      <w:autoSpaceDN/>
      <w:spacing w:before="200" w:after="200" w:line="276" w:lineRule="auto"/>
      <w:outlineLvl w:val="2"/>
    </w:pPr>
    <w:rPr>
      <w:rFonts w:ascii="Calibri Light" w:hAnsi="Calibri Light"/>
      <w:b/>
      <w:bCs/>
      <w:color w:val="5B9BD5"/>
    </w:rPr>
  </w:style>
  <w:style w:type="paragraph" w:styleId="Heading4">
    <w:name w:val="heading 4"/>
    <w:basedOn w:val="Normal"/>
    <w:link w:val="Heading4Char"/>
    <w:uiPriority w:val="9"/>
    <w:qFormat/>
    <w:rsid w:val="00E621AF"/>
    <w:pPr>
      <w:widowControl/>
      <w:autoSpaceDE/>
      <w:autoSpaceDN/>
      <w:outlineLvl w:val="3"/>
    </w:pPr>
    <w:rPr>
      <w:rFonts w:ascii="Arial" w:hAnsi="Arial" w:cs="Arial"/>
      <w:b/>
      <w:bCs/>
      <w:sz w:val="24"/>
      <w:szCs w:val="24"/>
      <w:lang w:val="sr-Latn-RS" w:eastAsia="sr-Latn-R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8"/>
      <w:szCs w:val="18"/>
    </w:rPr>
  </w:style>
  <w:style w:type="paragraph" w:styleId="ListParagraph">
    <w:name w:val="List Paragraph"/>
    <w:basedOn w:val="Normal"/>
    <w:uiPriority w:val="34"/>
    <w:qFormat/>
    <w:pPr>
      <w:spacing w:before="31"/>
      <w:ind w:left="790" w:hanging="340"/>
    </w:pPr>
  </w:style>
  <w:style w:type="paragraph" w:customStyle="1" w:styleId="TableParagraph">
    <w:name w:val="Table Paragraph"/>
    <w:basedOn w:val="Normal"/>
    <w:uiPriority w:val="1"/>
    <w:qFormat/>
    <w:pPr>
      <w:spacing w:before="17"/>
      <w:ind w:left="56"/>
    </w:pPr>
  </w:style>
  <w:style w:type="character" w:customStyle="1" w:styleId="Heading1Char">
    <w:name w:val="Heading 1 Char"/>
    <w:basedOn w:val="DefaultParagraphFont"/>
    <w:link w:val="Heading1"/>
    <w:uiPriority w:val="9"/>
    <w:rsid w:val="00E621AF"/>
    <w:rPr>
      <w:rFonts w:ascii="Calibri Light" w:eastAsia="Times New Roman" w:hAnsi="Calibri Light" w:cs="Times New Roman"/>
      <w:b/>
      <w:bCs/>
      <w:color w:val="2E74B5"/>
      <w:sz w:val="28"/>
      <w:szCs w:val="28"/>
    </w:rPr>
  </w:style>
  <w:style w:type="character" w:customStyle="1" w:styleId="Heading2Char">
    <w:name w:val="Heading 2 Char"/>
    <w:basedOn w:val="DefaultParagraphFont"/>
    <w:link w:val="Heading2"/>
    <w:uiPriority w:val="9"/>
    <w:rsid w:val="00E621AF"/>
    <w:rPr>
      <w:rFonts w:ascii="Calibri Light" w:eastAsia="Times New Roman" w:hAnsi="Calibri Light" w:cs="Times New Roman"/>
      <w:b/>
      <w:bCs/>
      <w:color w:val="5B9BD5"/>
      <w:sz w:val="26"/>
      <w:szCs w:val="26"/>
    </w:rPr>
  </w:style>
  <w:style w:type="character" w:customStyle="1" w:styleId="Heading3Char">
    <w:name w:val="Heading 3 Char"/>
    <w:basedOn w:val="DefaultParagraphFont"/>
    <w:link w:val="Heading3"/>
    <w:uiPriority w:val="9"/>
    <w:rsid w:val="00E621AF"/>
    <w:rPr>
      <w:rFonts w:ascii="Calibri Light" w:eastAsia="Times New Roman" w:hAnsi="Calibri Light" w:cs="Times New Roman"/>
      <w:b/>
      <w:bCs/>
      <w:color w:val="5B9BD5"/>
    </w:rPr>
  </w:style>
  <w:style w:type="character" w:customStyle="1" w:styleId="Heading4Char">
    <w:name w:val="Heading 4 Char"/>
    <w:basedOn w:val="DefaultParagraphFont"/>
    <w:link w:val="Heading4"/>
    <w:uiPriority w:val="9"/>
    <w:rsid w:val="00E621AF"/>
    <w:rPr>
      <w:rFonts w:ascii="Arial" w:eastAsia="Times New Roman" w:hAnsi="Arial" w:cs="Arial"/>
      <w:b/>
      <w:bCs/>
      <w:sz w:val="24"/>
      <w:szCs w:val="24"/>
      <w:lang w:val="sr-Latn-RS" w:eastAsia="sr-Latn-RS"/>
    </w:rPr>
  </w:style>
  <w:style w:type="paragraph" w:customStyle="1" w:styleId="clan">
    <w:name w:val="clan"/>
    <w:basedOn w:val="Normal"/>
    <w:next w:val="Normal"/>
    <w:qFormat/>
    <w:rsid w:val="00E621AF"/>
    <w:pPr>
      <w:widowControl/>
      <w:autoSpaceDE/>
      <w:autoSpaceDN/>
      <w:spacing w:before="240"/>
      <w:contextualSpacing/>
      <w:jc w:val="center"/>
    </w:pPr>
    <w:rPr>
      <w:rFonts w:eastAsia="Calibri"/>
      <w:b/>
      <w:noProof/>
      <w:sz w:val="18"/>
      <w:szCs w:val="18"/>
    </w:rPr>
  </w:style>
  <w:style w:type="paragraph" w:customStyle="1" w:styleId="110">
    <w:name w:val="110"/>
    <w:basedOn w:val="clan"/>
    <w:next w:val="clan"/>
    <w:qFormat/>
    <w:rsid w:val="00E621AF"/>
    <w:pPr>
      <w:spacing w:before="0"/>
    </w:pPr>
    <w:rPr>
      <w:sz w:val="24"/>
    </w:rPr>
  </w:style>
  <w:style w:type="paragraph" w:customStyle="1" w:styleId="120">
    <w:name w:val="120"/>
    <w:basedOn w:val="110"/>
    <w:qFormat/>
    <w:rsid w:val="00E621AF"/>
    <w:pPr>
      <w:spacing w:after="120"/>
    </w:pPr>
    <w:rPr>
      <w:i/>
    </w:rPr>
  </w:style>
  <w:style w:type="table" w:customStyle="1" w:styleId="TableGrid">
    <w:name w:val="TableGrid"/>
    <w:rsid w:val="00E621AF"/>
    <w:pPr>
      <w:widowControl/>
      <w:autoSpaceDE/>
      <w:autoSpaceDN/>
    </w:pPr>
    <w:rPr>
      <w:rFonts w:ascii="Calibri" w:eastAsia="Times New Roman" w:hAnsi="Calibri" w:cs="Times New Roman"/>
      <w:lang w:val="sr-Latn-RS" w:eastAsia="sr-Latn-RS"/>
    </w:rPr>
    <w:tblPr>
      <w:tblCellMar>
        <w:top w:w="0" w:type="dxa"/>
        <w:left w:w="0" w:type="dxa"/>
        <w:bottom w:w="0" w:type="dxa"/>
        <w:right w:w="0" w:type="dxa"/>
      </w:tblCellMar>
    </w:tblPr>
  </w:style>
  <w:style w:type="paragraph" w:styleId="Title">
    <w:name w:val="Title"/>
    <w:basedOn w:val="Normal"/>
    <w:next w:val="Normal"/>
    <w:link w:val="TitleChar"/>
    <w:uiPriority w:val="10"/>
    <w:qFormat/>
    <w:rsid w:val="00E621AF"/>
    <w:pPr>
      <w:widowControl/>
      <w:autoSpaceDE/>
      <w:autoSpaceDN/>
      <w:spacing w:before="120" w:after="60"/>
      <w:contextualSpacing/>
      <w:outlineLvl w:val="0"/>
    </w:pPr>
    <w:rPr>
      <w:rFonts w:ascii="Arial Bold" w:hAnsi="Arial Bold" w:cs="Arial"/>
      <w:bCs/>
      <w:noProof/>
      <w:color w:val="323E4F"/>
      <w:kern w:val="28"/>
      <w:szCs w:val="24"/>
      <w:lang w:val="sr-Latn-RS"/>
    </w:rPr>
  </w:style>
  <w:style w:type="character" w:customStyle="1" w:styleId="TitleChar">
    <w:name w:val="Title Char"/>
    <w:basedOn w:val="DefaultParagraphFont"/>
    <w:link w:val="Title"/>
    <w:uiPriority w:val="10"/>
    <w:rsid w:val="00E621AF"/>
    <w:rPr>
      <w:rFonts w:ascii="Arial Bold" w:eastAsia="Times New Roman" w:hAnsi="Arial Bold" w:cs="Arial"/>
      <w:bCs/>
      <w:noProof/>
      <w:color w:val="323E4F"/>
      <w:kern w:val="28"/>
      <w:szCs w:val="24"/>
      <w:lang w:val="sr-Latn-RS"/>
    </w:rPr>
  </w:style>
  <w:style w:type="paragraph" w:styleId="Header">
    <w:name w:val="header"/>
    <w:basedOn w:val="Normal"/>
    <w:link w:val="HeaderChar"/>
    <w:uiPriority w:val="99"/>
    <w:unhideWhenUsed/>
    <w:rsid w:val="00E621AF"/>
    <w:pPr>
      <w:widowControl/>
      <w:tabs>
        <w:tab w:val="center" w:pos="4536"/>
        <w:tab w:val="right" w:pos="9072"/>
      </w:tabs>
      <w:autoSpaceDE/>
      <w:autoSpaceDN/>
      <w:contextualSpacing/>
    </w:pPr>
    <w:rPr>
      <w:rFonts w:eastAsia="Calibri"/>
      <w:noProof/>
      <w:sz w:val="18"/>
      <w:szCs w:val="18"/>
      <w:lang w:val="sr-Latn-RS"/>
    </w:rPr>
  </w:style>
  <w:style w:type="character" w:customStyle="1" w:styleId="HeaderChar">
    <w:name w:val="Header Char"/>
    <w:basedOn w:val="DefaultParagraphFont"/>
    <w:link w:val="Header"/>
    <w:uiPriority w:val="99"/>
    <w:rsid w:val="00E621AF"/>
    <w:rPr>
      <w:rFonts w:ascii="Times New Roman" w:eastAsia="Calibri" w:hAnsi="Times New Roman" w:cs="Times New Roman"/>
      <w:noProof/>
      <w:sz w:val="18"/>
      <w:szCs w:val="18"/>
      <w:lang w:val="sr-Latn-RS"/>
    </w:rPr>
  </w:style>
  <w:style w:type="paragraph" w:styleId="Footer">
    <w:name w:val="footer"/>
    <w:aliases w:val="Char Char Char Char,Char,Char Char Char Char Char Char Char,Char Char Char Char Char Char Char Char Char,Char Char Char Char Char Char Char Char Char Char Char Char Char,Char Char Char Char Char Char,Char1,Char Cha, Char"/>
    <w:basedOn w:val="Normal"/>
    <w:link w:val="FooterChar"/>
    <w:uiPriority w:val="99"/>
    <w:unhideWhenUsed/>
    <w:qFormat/>
    <w:rsid w:val="00E621AF"/>
    <w:pPr>
      <w:widowControl/>
      <w:tabs>
        <w:tab w:val="center" w:pos="4536"/>
        <w:tab w:val="right" w:pos="9072"/>
      </w:tabs>
      <w:autoSpaceDE/>
      <w:autoSpaceDN/>
      <w:contextualSpacing/>
      <w:jc w:val="center"/>
    </w:pPr>
    <w:rPr>
      <w:rFonts w:ascii="Arial" w:eastAsia="Calibri" w:hAnsi="Arial"/>
      <w:b/>
      <w:sz w:val="20"/>
      <w:szCs w:val="18"/>
      <w:lang w:val="sr-Latn-RS"/>
    </w:rPr>
  </w:style>
  <w:style w:type="character" w:customStyle="1" w:styleId="FooterChar">
    <w:name w:val="Footer Char"/>
    <w:aliases w:val="Char Char Char Char Char,Char Char,Char Char Char Char Char Char Char Char,Char Char Char Char Char Char Char Char Char Char,Char Char Char Char Char Char Char Char Char Char Char Char Char Char,Char Char Char Char Char Char Char1,Char1 Char"/>
    <w:basedOn w:val="DefaultParagraphFont"/>
    <w:link w:val="Footer"/>
    <w:uiPriority w:val="99"/>
    <w:qFormat/>
    <w:rsid w:val="00E621AF"/>
    <w:rPr>
      <w:rFonts w:ascii="Arial" w:eastAsia="Calibri" w:hAnsi="Arial" w:cs="Times New Roman"/>
      <w:b/>
      <w:sz w:val="20"/>
      <w:szCs w:val="18"/>
      <w:lang w:val="sr-Latn-RS"/>
    </w:rPr>
  </w:style>
  <w:style w:type="table" w:styleId="TableGrid0">
    <w:name w:val="Table Grid"/>
    <w:basedOn w:val="TableNormal"/>
    <w:uiPriority w:val="39"/>
    <w:rsid w:val="00E621AF"/>
    <w:pPr>
      <w:widowControl/>
      <w:autoSpaceDE/>
      <w:autoSpaceDN/>
    </w:pPr>
    <w:rPr>
      <w:rFonts w:ascii="Calibri" w:eastAsia="Calibri" w:hAnsi="Calibri" w:cs="Times New Roman"/>
      <w:sz w:val="20"/>
      <w:szCs w:val="20"/>
      <w:lang w:val="sr-Latn-RS" w:eastAsia="sr-Latn-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E621AF"/>
    <w:pPr>
      <w:widowControl/>
      <w:autoSpaceDE/>
      <w:autoSpaceDN/>
      <w:contextualSpacing/>
    </w:pPr>
    <w:rPr>
      <w:rFonts w:ascii="Garamond" w:eastAsia="Calibri" w:hAnsi="Garamond" w:cs="Times New Roman"/>
      <w:noProof/>
      <w:sz w:val="18"/>
      <w:szCs w:val="18"/>
      <w:lang w:val="sr-Latn-RS"/>
    </w:rPr>
  </w:style>
  <w:style w:type="paragraph" w:customStyle="1" w:styleId="NASLOVZLATO">
    <w:name w:val="NASLOV ZLATO"/>
    <w:basedOn w:val="Title"/>
    <w:qFormat/>
    <w:rsid w:val="00E621AF"/>
    <w:pPr>
      <w:jc w:val="center"/>
    </w:pPr>
    <w:rPr>
      <w:rFonts w:ascii="Arial" w:hAnsi="Arial"/>
      <w:b/>
      <w:color w:val="FFE599"/>
      <w:sz w:val="24"/>
      <w:lang w:eastAsia="sr-Latn-RS"/>
    </w:rPr>
  </w:style>
  <w:style w:type="paragraph" w:customStyle="1" w:styleId="NASLOVBELO">
    <w:name w:val="NASLOV BELO"/>
    <w:basedOn w:val="Title"/>
    <w:rsid w:val="00E621AF"/>
    <w:pPr>
      <w:jc w:val="center"/>
    </w:pPr>
    <w:rPr>
      <w:rFonts w:ascii="Arial" w:hAnsi="Arial"/>
      <w:b/>
      <w:color w:val="FFFFFF"/>
      <w:sz w:val="24"/>
      <w:lang w:eastAsia="sr-Latn-RS"/>
    </w:rPr>
  </w:style>
  <w:style w:type="paragraph" w:customStyle="1" w:styleId="podnaslovpropisa">
    <w:name w:val="podnaslovpropisa"/>
    <w:basedOn w:val="Normal"/>
    <w:rsid w:val="00E621AF"/>
    <w:pPr>
      <w:widowControl/>
      <w:shd w:val="clear" w:color="auto" w:fill="000000"/>
      <w:autoSpaceDE/>
      <w:autoSpaceDN/>
      <w:spacing w:before="100" w:beforeAutospacing="1" w:after="100" w:afterAutospacing="1" w:line="264" w:lineRule="auto"/>
      <w:jc w:val="center"/>
    </w:pPr>
    <w:rPr>
      <w:rFonts w:ascii="Arial" w:hAnsi="Arial" w:cs="Arial"/>
      <w:i/>
      <w:iCs/>
      <w:color w:val="FFE8BF"/>
      <w:sz w:val="20"/>
      <w:szCs w:val="20"/>
      <w:lang w:val="sr-Latn-RS" w:eastAsia="sr-Latn-RS"/>
    </w:rPr>
  </w:style>
  <w:style w:type="paragraph" w:customStyle="1" w:styleId="normalprored">
    <w:name w:val="normalprored"/>
    <w:basedOn w:val="Normal"/>
    <w:rsid w:val="00E621AF"/>
    <w:pPr>
      <w:widowControl/>
      <w:autoSpaceDE/>
      <w:autoSpaceDN/>
    </w:pPr>
    <w:rPr>
      <w:rFonts w:ascii="Arial" w:hAnsi="Arial" w:cs="Arial"/>
      <w:sz w:val="26"/>
      <w:szCs w:val="26"/>
      <w:lang w:val="sr-Latn-RS" w:eastAsia="sr-Latn-RS"/>
    </w:rPr>
  </w:style>
  <w:style w:type="paragraph" w:customStyle="1" w:styleId="wyq060---pododeljak">
    <w:name w:val="wyq060---pododeljak"/>
    <w:basedOn w:val="Normal"/>
    <w:rsid w:val="00E621AF"/>
    <w:pPr>
      <w:widowControl/>
      <w:autoSpaceDE/>
      <w:autoSpaceDN/>
      <w:jc w:val="center"/>
    </w:pPr>
    <w:rPr>
      <w:rFonts w:ascii="Arial" w:hAnsi="Arial" w:cs="Arial"/>
      <w:sz w:val="31"/>
      <w:szCs w:val="31"/>
      <w:lang w:val="sr-Latn-RS" w:eastAsia="sr-Latn-RS"/>
    </w:rPr>
  </w:style>
  <w:style w:type="numbering" w:customStyle="1" w:styleId="NoList1">
    <w:name w:val="No List1"/>
    <w:next w:val="NoList"/>
    <w:uiPriority w:val="99"/>
    <w:semiHidden/>
    <w:unhideWhenUsed/>
    <w:rsid w:val="00E621AF"/>
  </w:style>
  <w:style w:type="paragraph" w:styleId="NormalIndent">
    <w:name w:val="Normal Indent"/>
    <w:basedOn w:val="Normal"/>
    <w:uiPriority w:val="99"/>
    <w:unhideWhenUsed/>
    <w:rsid w:val="00E621AF"/>
    <w:pPr>
      <w:widowControl/>
      <w:autoSpaceDE/>
      <w:autoSpaceDN/>
      <w:spacing w:after="200" w:line="276" w:lineRule="auto"/>
      <w:ind w:left="720"/>
    </w:pPr>
    <w:rPr>
      <w:rFonts w:ascii="Verdana" w:eastAsia="Calibri" w:hAnsi="Verdana" w:cs="Verdana"/>
    </w:rPr>
  </w:style>
  <w:style w:type="paragraph" w:styleId="Subtitle">
    <w:name w:val="Subtitle"/>
    <w:basedOn w:val="Normal"/>
    <w:next w:val="Normal"/>
    <w:link w:val="SubtitleChar"/>
    <w:uiPriority w:val="11"/>
    <w:qFormat/>
    <w:rsid w:val="00E621AF"/>
    <w:pPr>
      <w:widowControl/>
      <w:numPr>
        <w:ilvl w:val="1"/>
      </w:numPr>
      <w:autoSpaceDE/>
      <w:autoSpaceDN/>
      <w:spacing w:after="200" w:line="276" w:lineRule="auto"/>
      <w:ind w:left="86"/>
    </w:pPr>
    <w:rPr>
      <w:rFonts w:ascii="Calibri Light" w:hAnsi="Calibri Light"/>
      <w:i/>
      <w:iCs/>
      <w:color w:val="5B9BD5"/>
      <w:spacing w:val="15"/>
      <w:sz w:val="24"/>
      <w:szCs w:val="24"/>
    </w:rPr>
  </w:style>
  <w:style w:type="character" w:customStyle="1" w:styleId="SubtitleChar">
    <w:name w:val="Subtitle Char"/>
    <w:basedOn w:val="DefaultParagraphFont"/>
    <w:link w:val="Subtitle"/>
    <w:uiPriority w:val="11"/>
    <w:rsid w:val="00E621AF"/>
    <w:rPr>
      <w:rFonts w:ascii="Calibri Light" w:eastAsia="Times New Roman" w:hAnsi="Calibri Light" w:cs="Times New Roman"/>
      <w:i/>
      <w:iCs/>
      <w:color w:val="5B9BD5"/>
      <w:spacing w:val="15"/>
      <w:sz w:val="24"/>
      <w:szCs w:val="24"/>
    </w:rPr>
  </w:style>
  <w:style w:type="character" w:styleId="Emphasis">
    <w:name w:val="Emphasis"/>
    <w:uiPriority w:val="20"/>
    <w:qFormat/>
    <w:rsid w:val="00E621AF"/>
    <w:rPr>
      <w:i/>
      <w:iCs/>
    </w:rPr>
  </w:style>
  <w:style w:type="character" w:styleId="Hyperlink">
    <w:name w:val="Hyperlink"/>
    <w:uiPriority w:val="99"/>
    <w:unhideWhenUsed/>
    <w:rsid w:val="00E621AF"/>
    <w:rPr>
      <w:color w:val="0563C1"/>
      <w:u w:val="single"/>
    </w:rPr>
  </w:style>
  <w:style w:type="table" w:customStyle="1" w:styleId="TableGrid1">
    <w:name w:val="Table Grid1"/>
    <w:basedOn w:val="TableNormal"/>
    <w:next w:val="TableGrid0"/>
    <w:uiPriority w:val="59"/>
    <w:rsid w:val="00E621AF"/>
    <w:pPr>
      <w:widowControl/>
      <w:autoSpaceDE/>
      <w:autoSpaceDN/>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aption">
    <w:name w:val="caption"/>
    <w:basedOn w:val="Normal"/>
    <w:next w:val="Normal"/>
    <w:uiPriority w:val="35"/>
    <w:semiHidden/>
    <w:unhideWhenUsed/>
    <w:qFormat/>
    <w:rsid w:val="00E621AF"/>
    <w:pPr>
      <w:widowControl/>
      <w:autoSpaceDE/>
      <w:autoSpaceDN/>
      <w:spacing w:after="200"/>
    </w:pPr>
    <w:rPr>
      <w:rFonts w:ascii="Verdana" w:eastAsia="Calibri" w:hAnsi="Verdana" w:cs="Verdana"/>
      <w:b/>
      <w:bCs/>
      <w:color w:val="5B9BD5"/>
      <w:sz w:val="18"/>
      <w:szCs w:val="18"/>
    </w:rPr>
  </w:style>
  <w:style w:type="paragraph" w:customStyle="1" w:styleId="DocDefaults">
    <w:name w:val="DocDefaults"/>
    <w:rsid w:val="00E621AF"/>
    <w:pPr>
      <w:widowControl/>
      <w:autoSpaceDE/>
      <w:autoSpaceDN/>
      <w:spacing w:after="200" w:line="276" w:lineRule="auto"/>
    </w:pPr>
    <w:rPr>
      <w:rFonts w:ascii="Calibri" w:eastAsia="Calibri" w:hAnsi="Calibri" w:cs="Times New Roman"/>
    </w:rPr>
  </w:style>
  <w:style w:type="character" w:styleId="FollowedHyperlink">
    <w:name w:val="FollowedHyperlink"/>
    <w:uiPriority w:val="99"/>
    <w:semiHidden/>
    <w:unhideWhenUsed/>
    <w:rsid w:val="00E621AF"/>
    <w:rPr>
      <w:color w:val="954F72"/>
      <w:u w:val="single"/>
    </w:rPr>
  </w:style>
  <w:style w:type="numbering" w:customStyle="1" w:styleId="NoList2">
    <w:name w:val="No List2"/>
    <w:next w:val="NoList"/>
    <w:uiPriority w:val="99"/>
    <w:semiHidden/>
    <w:unhideWhenUsed/>
    <w:rsid w:val="00E621AF"/>
  </w:style>
  <w:style w:type="table" w:customStyle="1" w:styleId="TableGrid2">
    <w:name w:val="Table Grid2"/>
    <w:basedOn w:val="TableNormal"/>
    <w:next w:val="TableGrid0"/>
    <w:uiPriority w:val="59"/>
    <w:rsid w:val="00E621AF"/>
    <w:pPr>
      <w:widowControl/>
      <w:autoSpaceDE/>
      <w:autoSpaceDN/>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
    <w:name w:val="No List3"/>
    <w:next w:val="NoList"/>
    <w:uiPriority w:val="99"/>
    <w:semiHidden/>
    <w:unhideWhenUsed/>
    <w:rsid w:val="00E621AF"/>
  </w:style>
  <w:style w:type="table" w:customStyle="1" w:styleId="TableGrid3">
    <w:name w:val="Table Grid3"/>
    <w:basedOn w:val="TableNormal"/>
    <w:next w:val="TableGrid0"/>
    <w:uiPriority w:val="59"/>
    <w:rsid w:val="00E621AF"/>
    <w:pPr>
      <w:widowControl/>
      <w:autoSpaceDE/>
      <w:autoSpaceDN/>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4">
    <w:name w:val="No List4"/>
    <w:next w:val="NoList"/>
    <w:uiPriority w:val="99"/>
    <w:semiHidden/>
    <w:unhideWhenUsed/>
    <w:rsid w:val="00E621AF"/>
  </w:style>
  <w:style w:type="table" w:customStyle="1" w:styleId="TableGrid4">
    <w:name w:val="Table Grid4"/>
    <w:basedOn w:val="TableNormal"/>
    <w:next w:val="TableGrid0"/>
    <w:uiPriority w:val="59"/>
    <w:rsid w:val="00E621AF"/>
    <w:pPr>
      <w:widowControl/>
      <w:autoSpaceDE/>
      <w:autoSpaceDN/>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
    <w:name w:val="No List5"/>
    <w:next w:val="NoList"/>
    <w:uiPriority w:val="99"/>
    <w:semiHidden/>
    <w:unhideWhenUsed/>
    <w:rsid w:val="00E621AF"/>
  </w:style>
  <w:style w:type="table" w:customStyle="1" w:styleId="TableGrid5">
    <w:name w:val="Table Grid5"/>
    <w:basedOn w:val="TableNormal"/>
    <w:next w:val="TableGrid0"/>
    <w:uiPriority w:val="59"/>
    <w:rsid w:val="00E621AF"/>
    <w:pPr>
      <w:widowControl/>
      <w:autoSpaceDE/>
      <w:autoSpaceDN/>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
    <w:name w:val="No List6"/>
    <w:next w:val="NoList"/>
    <w:uiPriority w:val="99"/>
    <w:semiHidden/>
    <w:unhideWhenUsed/>
    <w:rsid w:val="00606F5D"/>
  </w:style>
  <w:style w:type="table" w:customStyle="1" w:styleId="TableGrid6">
    <w:name w:val="Table Grid6"/>
    <w:basedOn w:val="TableNormal"/>
    <w:next w:val="TableGrid0"/>
    <w:uiPriority w:val="39"/>
    <w:rsid w:val="00606F5D"/>
    <w:pPr>
      <w:widowControl/>
      <w:autoSpaceDE/>
      <w:autoSpaceDN/>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unhideWhenUsed/>
    <w:rsid w:val="00606F5D"/>
    <w:rPr>
      <w:sz w:val="16"/>
      <w:szCs w:val="16"/>
    </w:rPr>
  </w:style>
  <w:style w:type="paragraph" w:customStyle="1" w:styleId="CommentText1">
    <w:name w:val="Comment Text1"/>
    <w:basedOn w:val="Normal"/>
    <w:next w:val="CommentText"/>
    <w:link w:val="CommentTextChar"/>
    <w:uiPriority w:val="99"/>
    <w:unhideWhenUsed/>
    <w:rsid w:val="00606F5D"/>
    <w:pPr>
      <w:widowControl/>
      <w:autoSpaceDE/>
      <w:autoSpaceDN/>
      <w:spacing w:after="160"/>
    </w:pPr>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1"/>
    <w:uiPriority w:val="99"/>
    <w:rsid w:val="00606F5D"/>
    <w:rPr>
      <w:sz w:val="20"/>
      <w:szCs w:val="20"/>
    </w:rPr>
  </w:style>
  <w:style w:type="paragraph" w:customStyle="1" w:styleId="CommentSubject1">
    <w:name w:val="Comment Subject1"/>
    <w:basedOn w:val="CommentText"/>
    <w:next w:val="CommentText"/>
    <w:uiPriority w:val="99"/>
    <w:semiHidden/>
    <w:unhideWhenUsed/>
    <w:rsid w:val="00606F5D"/>
    <w:pPr>
      <w:widowControl/>
      <w:autoSpaceDE/>
      <w:autoSpaceDN/>
      <w:spacing w:after="160"/>
    </w:pPr>
    <w:rPr>
      <w:rFonts w:ascii="Calibri" w:eastAsia="Calibri" w:hAnsi="Calibri"/>
      <w:b/>
      <w:bCs/>
    </w:rPr>
  </w:style>
  <w:style w:type="character" w:customStyle="1" w:styleId="CommentSubjectChar">
    <w:name w:val="Comment Subject Char"/>
    <w:basedOn w:val="CommentTextChar"/>
    <w:link w:val="CommentSubject"/>
    <w:uiPriority w:val="99"/>
    <w:semiHidden/>
    <w:rsid w:val="00606F5D"/>
    <w:rPr>
      <w:sz w:val="20"/>
      <w:szCs w:val="20"/>
    </w:rPr>
  </w:style>
  <w:style w:type="paragraph" w:customStyle="1" w:styleId="BalloonText1">
    <w:name w:val="Balloon Text1"/>
    <w:basedOn w:val="Normal"/>
    <w:next w:val="BalloonText"/>
    <w:link w:val="BalloonTextChar"/>
    <w:uiPriority w:val="99"/>
    <w:semiHidden/>
    <w:unhideWhenUsed/>
    <w:rsid w:val="00606F5D"/>
    <w:pPr>
      <w:widowControl/>
      <w:autoSpaceDE/>
      <w:autoSpaceDN/>
    </w:pPr>
    <w:rPr>
      <w:rFonts w:ascii="Segoe UI" w:eastAsiaTheme="minorHAnsi" w:hAnsi="Segoe UI" w:cs="Segoe UI"/>
      <w:sz w:val="18"/>
      <w:szCs w:val="18"/>
    </w:rPr>
  </w:style>
  <w:style w:type="character" w:customStyle="1" w:styleId="BalloonTextChar">
    <w:name w:val="Balloon Text Char"/>
    <w:basedOn w:val="DefaultParagraphFont"/>
    <w:link w:val="BalloonText1"/>
    <w:uiPriority w:val="99"/>
    <w:semiHidden/>
    <w:rsid w:val="00606F5D"/>
    <w:rPr>
      <w:rFonts w:ascii="Segoe UI" w:hAnsi="Segoe UI" w:cs="Segoe UI"/>
      <w:sz w:val="18"/>
      <w:szCs w:val="18"/>
    </w:rPr>
  </w:style>
  <w:style w:type="paragraph" w:customStyle="1" w:styleId="FootnoteText1">
    <w:name w:val="Footnote Text1"/>
    <w:basedOn w:val="Normal"/>
    <w:next w:val="FootnoteText"/>
    <w:link w:val="FootnoteTextChar"/>
    <w:uiPriority w:val="99"/>
    <w:semiHidden/>
    <w:unhideWhenUsed/>
    <w:rsid w:val="00606F5D"/>
    <w:pPr>
      <w:widowControl/>
      <w:autoSpaceDE/>
      <w:autoSpaceDN/>
    </w:pPr>
    <w:rPr>
      <w:rFonts w:asciiTheme="minorHAnsi" w:eastAsiaTheme="minorHAnsi" w:hAnsiTheme="minorHAnsi" w:cstheme="minorBidi"/>
      <w:sz w:val="20"/>
      <w:szCs w:val="20"/>
    </w:rPr>
  </w:style>
  <w:style w:type="character" w:customStyle="1" w:styleId="FootnoteTextChar">
    <w:name w:val="Footnote Text Char"/>
    <w:aliases w:val="single space Char1,FOOTNOTES Char1,fn Char1,Fußnotentext Char Char1,ADB Char1,Footnote text Char1,Footnote Text Char Char Char Char1,Footnote Text Char Char Char2,Footnote Text Char1 Char Char1,Footnote Text Char Char Char1 Char Char"/>
    <w:basedOn w:val="DefaultParagraphFont"/>
    <w:link w:val="FootnoteText1"/>
    <w:uiPriority w:val="99"/>
    <w:rsid w:val="00606F5D"/>
    <w:rPr>
      <w:sz w:val="20"/>
      <w:szCs w:val="20"/>
    </w:rPr>
  </w:style>
  <w:style w:type="character" w:styleId="FootnoteReference">
    <w:name w:val="footnote reference"/>
    <w:basedOn w:val="DefaultParagraphFont"/>
    <w:uiPriority w:val="99"/>
    <w:semiHidden/>
    <w:unhideWhenUsed/>
    <w:rsid w:val="00606F5D"/>
    <w:rPr>
      <w:vertAlign w:val="superscript"/>
    </w:rPr>
  </w:style>
  <w:style w:type="paragraph" w:customStyle="1" w:styleId="Revision1">
    <w:name w:val="Revision1"/>
    <w:next w:val="Revision"/>
    <w:hidden/>
    <w:uiPriority w:val="99"/>
    <w:semiHidden/>
    <w:rsid w:val="00606F5D"/>
    <w:pPr>
      <w:widowControl/>
      <w:autoSpaceDE/>
      <w:autoSpaceDN/>
    </w:pPr>
  </w:style>
  <w:style w:type="character" w:styleId="PageNumber">
    <w:name w:val="page number"/>
    <w:basedOn w:val="DefaultParagraphFont"/>
    <w:uiPriority w:val="99"/>
    <w:semiHidden/>
    <w:unhideWhenUsed/>
    <w:rsid w:val="00606F5D"/>
  </w:style>
  <w:style w:type="character" w:customStyle="1" w:styleId="fontstyle01">
    <w:name w:val="fontstyle01"/>
    <w:rsid w:val="00606F5D"/>
    <w:rPr>
      <w:rFonts w:ascii="TimesNewRomanPSMT" w:hAnsi="TimesNewRomanPSMT" w:hint="default"/>
      <w:b w:val="0"/>
      <w:bCs w:val="0"/>
      <w:i w:val="0"/>
      <w:iCs w:val="0"/>
      <w:color w:val="242021"/>
      <w:sz w:val="18"/>
      <w:szCs w:val="18"/>
    </w:rPr>
  </w:style>
  <w:style w:type="paragraph" w:customStyle="1" w:styleId="00Nabrajanja">
    <w:name w:val="00. Nabrajanja"/>
    <w:basedOn w:val="Normal"/>
    <w:link w:val="00NabrajanjaChar"/>
    <w:qFormat/>
    <w:rsid w:val="00606F5D"/>
    <w:pPr>
      <w:numPr>
        <w:numId w:val="3"/>
      </w:numPr>
      <w:autoSpaceDE/>
      <w:autoSpaceDN/>
      <w:spacing w:after="60"/>
      <w:ind w:left="567" w:hanging="425"/>
      <w:jc w:val="both"/>
    </w:pPr>
    <w:rPr>
      <w:sz w:val="24"/>
      <w:lang w:val="sr-Cyrl-RS"/>
    </w:rPr>
  </w:style>
  <w:style w:type="character" w:customStyle="1" w:styleId="00NabrajanjaChar">
    <w:name w:val="00. Nabrajanja Char"/>
    <w:link w:val="00Nabrajanja"/>
    <w:rsid w:val="00606F5D"/>
    <w:rPr>
      <w:rFonts w:ascii="Times New Roman" w:eastAsia="Times New Roman" w:hAnsi="Times New Roman" w:cs="Times New Roman"/>
      <w:sz w:val="24"/>
      <w:lang w:val="sr-Cyrl-RS"/>
    </w:rPr>
  </w:style>
  <w:style w:type="paragraph" w:customStyle="1" w:styleId="a0">
    <w:name w:val="СТУБОВИ"/>
    <w:basedOn w:val="Normal"/>
    <w:link w:val="Char"/>
    <w:qFormat/>
    <w:rsid w:val="00606F5D"/>
    <w:pPr>
      <w:widowControl/>
      <w:autoSpaceDE/>
      <w:autoSpaceDN/>
      <w:spacing w:before="120" w:after="120"/>
    </w:pPr>
    <w:rPr>
      <w:rFonts w:ascii="Arial" w:eastAsia="Calibri" w:hAnsi="Arial" w:cs="Arial"/>
      <w:b/>
      <w:sz w:val="24"/>
      <w:szCs w:val="24"/>
      <w:lang w:val="sr-Cyrl-RS"/>
    </w:rPr>
  </w:style>
  <w:style w:type="character" w:customStyle="1" w:styleId="Char">
    <w:name w:val="СТУБОВИ Char"/>
    <w:basedOn w:val="DefaultParagraphFont"/>
    <w:link w:val="a0"/>
    <w:rsid w:val="00606F5D"/>
    <w:rPr>
      <w:rFonts w:ascii="Arial" w:eastAsia="Calibri" w:hAnsi="Arial" w:cs="Arial"/>
      <w:b/>
      <w:sz w:val="24"/>
      <w:szCs w:val="24"/>
      <w:lang w:val="sr-Cyrl-RS"/>
    </w:rPr>
  </w:style>
  <w:style w:type="paragraph" w:customStyle="1" w:styleId="TOC11">
    <w:name w:val="TOC 11"/>
    <w:basedOn w:val="Normal"/>
    <w:next w:val="Normal"/>
    <w:autoRedefine/>
    <w:uiPriority w:val="39"/>
    <w:unhideWhenUsed/>
    <w:rsid w:val="00606F5D"/>
    <w:pPr>
      <w:widowControl/>
      <w:tabs>
        <w:tab w:val="right" w:leader="dot" w:pos="9017"/>
      </w:tabs>
      <w:autoSpaceDE/>
      <w:autoSpaceDN/>
      <w:spacing w:after="100" w:line="259" w:lineRule="auto"/>
      <w:jc w:val="both"/>
    </w:pPr>
    <w:rPr>
      <w:rFonts w:eastAsia="Calibri"/>
      <w:color w:val="4472C4"/>
      <w:sz w:val="24"/>
    </w:rPr>
  </w:style>
  <w:style w:type="paragraph" w:customStyle="1" w:styleId="a1">
    <w:name w:val="Мера"/>
    <w:basedOn w:val="Normal"/>
    <w:link w:val="Char0"/>
    <w:qFormat/>
    <w:rsid w:val="00606F5D"/>
    <w:pPr>
      <w:widowControl/>
      <w:autoSpaceDE/>
      <w:autoSpaceDN/>
    </w:pPr>
    <w:rPr>
      <w:rFonts w:ascii="Arial" w:eastAsia="Calibri" w:hAnsi="Arial" w:cs="Arial"/>
      <w:b/>
      <w:sz w:val="20"/>
      <w:szCs w:val="20"/>
      <w:lang w:val="sr-Cyrl-RS"/>
    </w:rPr>
  </w:style>
  <w:style w:type="character" w:customStyle="1" w:styleId="Char0">
    <w:name w:val="Мера Char"/>
    <w:basedOn w:val="DefaultParagraphFont"/>
    <w:link w:val="a1"/>
    <w:rsid w:val="00606F5D"/>
    <w:rPr>
      <w:rFonts w:ascii="Arial" w:eastAsia="Calibri" w:hAnsi="Arial" w:cs="Arial"/>
      <w:b/>
      <w:sz w:val="20"/>
      <w:szCs w:val="20"/>
      <w:lang w:val="sr-Cyrl-RS"/>
    </w:rPr>
  </w:style>
  <w:style w:type="paragraph" w:customStyle="1" w:styleId="TOC21">
    <w:name w:val="TOC 21"/>
    <w:basedOn w:val="Normal"/>
    <w:next w:val="Normal"/>
    <w:autoRedefine/>
    <w:uiPriority w:val="39"/>
    <w:unhideWhenUsed/>
    <w:rsid w:val="00606F5D"/>
    <w:pPr>
      <w:widowControl/>
      <w:autoSpaceDE/>
      <w:autoSpaceDN/>
      <w:spacing w:after="100" w:line="259" w:lineRule="auto"/>
      <w:ind w:left="220"/>
    </w:pPr>
    <w:rPr>
      <w:rFonts w:eastAsia="Calibri"/>
      <w:sz w:val="20"/>
    </w:rPr>
  </w:style>
  <w:style w:type="paragraph" w:styleId="CommentText">
    <w:name w:val="annotation text"/>
    <w:basedOn w:val="Normal"/>
    <w:link w:val="CommentTextChar1"/>
    <w:uiPriority w:val="99"/>
    <w:semiHidden/>
    <w:unhideWhenUsed/>
    <w:rsid w:val="00606F5D"/>
    <w:rPr>
      <w:sz w:val="20"/>
      <w:szCs w:val="20"/>
    </w:rPr>
  </w:style>
  <w:style w:type="character" w:customStyle="1" w:styleId="CommentTextChar1">
    <w:name w:val="Comment Text Char1"/>
    <w:basedOn w:val="DefaultParagraphFont"/>
    <w:link w:val="CommentText"/>
    <w:uiPriority w:val="99"/>
    <w:semiHidden/>
    <w:rsid w:val="00606F5D"/>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606F5D"/>
    <w:rPr>
      <w:rFonts w:asciiTheme="minorHAnsi" w:eastAsiaTheme="minorHAnsi" w:hAnsiTheme="minorHAnsi" w:cstheme="minorBidi"/>
    </w:rPr>
  </w:style>
  <w:style w:type="character" w:customStyle="1" w:styleId="CommentSubjectChar1">
    <w:name w:val="Comment Subject Char1"/>
    <w:basedOn w:val="CommentTextChar1"/>
    <w:uiPriority w:val="99"/>
    <w:semiHidden/>
    <w:rsid w:val="00606F5D"/>
    <w:rPr>
      <w:rFonts w:ascii="Times New Roman" w:eastAsia="Times New Roman" w:hAnsi="Times New Roman" w:cs="Times New Roman"/>
      <w:b/>
      <w:bCs/>
      <w:sz w:val="20"/>
      <w:szCs w:val="20"/>
    </w:rPr>
  </w:style>
  <w:style w:type="paragraph" w:styleId="BalloonText">
    <w:name w:val="Balloon Text"/>
    <w:basedOn w:val="Normal"/>
    <w:link w:val="BalloonTextChar1"/>
    <w:uiPriority w:val="99"/>
    <w:semiHidden/>
    <w:unhideWhenUsed/>
    <w:rsid w:val="00606F5D"/>
    <w:rPr>
      <w:rFonts w:ascii="Segoe UI" w:hAnsi="Segoe UI" w:cs="Segoe UI"/>
      <w:sz w:val="18"/>
      <w:szCs w:val="18"/>
    </w:rPr>
  </w:style>
  <w:style w:type="character" w:customStyle="1" w:styleId="BalloonTextChar1">
    <w:name w:val="Balloon Text Char1"/>
    <w:basedOn w:val="DefaultParagraphFont"/>
    <w:link w:val="BalloonText"/>
    <w:uiPriority w:val="99"/>
    <w:semiHidden/>
    <w:rsid w:val="00606F5D"/>
    <w:rPr>
      <w:rFonts w:ascii="Segoe UI" w:eastAsia="Times New Roman" w:hAnsi="Segoe UI" w:cs="Segoe UI"/>
      <w:sz w:val="18"/>
      <w:szCs w:val="18"/>
    </w:rPr>
  </w:style>
  <w:style w:type="paragraph" w:styleId="FootnoteText">
    <w:name w:val="footnote text"/>
    <w:aliases w:val="single space,FOOTNOTES,fn,Fußnotentext Char,ADB,Footnote text,Footnote Text Char Char Char,Footnote Text Char Char,Footnote Text Char1 Char,Footnote Text Char Char Char Char Char,Footnote Text Char Char Char1 Char,Char Char Char,Fußnote,f"/>
    <w:basedOn w:val="Normal"/>
    <w:link w:val="FootnoteTextChar1"/>
    <w:uiPriority w:val="99"/>
    <w:unhideWhenUsed/>
    <w:qFormat/>
    <w:rsid w:val="00606F5D"/>
    <w:rPr>
      <w:sz w:val="20"/>
      <w:szCs w:val="20"/>
    </w:rPr>
  </w:style>
  <w:style w:type="character" w:customStyle="1" w:styleId="FootnoteTextChar1">
    <w:name w:val="Footnote Text Char1"/>
    <w:aliases w:val="single space Char,FOOTNOTES Char,fn Char,Fußnotentext Char Char,ADB Char,Footnote text Char,Footnote Text Char Char Char Char,Footnote Text Char Char Char1,Footnote Text Char1 Char Char,Footnote Text Char Char Char Char Char Char"/>
    <w:basedOn w:val="DefaultParagraphFont"/>
    <w:link w:val="FootnoteText"/>
    <w:uiPriority w:val="99"/>
    <w:semiHidden/>
    <w:rsid w:val="00606F5D"/>
    <w:rPr>
      <w:rFonts w:ascii="Times New Roman" w:eastAsia="Times New Roman" w:hAnsi="Times New Roman" w:cs="Times New Roman"/>
      <w:sz w:val="20"/>
      <w:szCs w:val="20"/>
    </w:rPr>
  </w:style>
  <w:style w:type="paragraph" w:styleId="Revision">
    <w:name w:val="Revision"/>
    <w:hidden/>
    <w:uiPriority w:val="99"/>
    <w:semiHidden/>
    <w:rsid w:val="00606F5D"/>
    <w:pPr>
      <w:widowControl/>
      <w:autoSpaceDE/>
      <w:autoSpaceDN/>
    </w:pPr>
    <w:rPr>
      <w:rFonts w:ascii="Times New Roman" w:eastAsia="Times New Roman" w:hAnsi="Times New Roman" w:cs="Times New Roman"/>
    </w:rPr>
  </w:style>
  <w:style w:type="paragraph" w:styleId="TOC1">
    <w:name w:val="toc 1"/>
    <w:basedOn w:val="Normal"/>
    <w:next w:val="Normal"/>
    <w:uiPriority w:val="39"/>
    <w:rsid w:val="00606F5D"/>
    <w:pPr>
      <w:autoSpaceDE/>
      <w:autoSpaceDN/>
      <w:spacing w:before="240" w:after="120"/>
    </w:pPr>
    <w:rPr>
      <w:rFonts w:cs="Calibri"/>
      <w:bCs/>
      <w:szCs w:val="20"/>
      <w:lang w:val="sr-Cyrl-CS"/>
    </w:rPr>
  </w:style>
  <w:style w:type="paragraph" w:styleId="TOC2">
    <w:name w:val="toc 2"/>
    <w:basedOn w:val="Normal"/>
    <w:next w:val="Normal"/>
    <w:uiPriority w:val="39"/>
    <w:rsid w:val="00606F5D"/>
    <w:pPr>
      <w:autoSpaceDE/>
      <w:autoSpaceDN/>
      <w:spacing w:before="120" w:after="120"/>
      <w:ind w:left="220"/>
    </w:pPr>
    <w:rPr>
      <w:rFonts w:cs="Calibri"/>
      <w:i/>
      <w:iCs/>
      <w:sz w:val="20"/>
      <w:szCs w:val="20"/>
      <w:lang w:val="sr-Cyrl-CS"/>
    </w:rPr>
  </w:style>
  <w:style w:type="paragraph" w:styleId="TOC3">
    <w:name w:val="toc 3"/>
    <w:basedOn w:val="Normal"/>
    <w:next w:val="Normal"/>
    <w:uiPriority w:val="39"/>
    <w:rsid w:val="00606F5D"/>
    <w:pPr>
      <w:autoSpaceDE/>
      <w:autoSpaceDN/>
      <w:spacing w:before="120" w:after="120"/>
      <w:ind w:left="440"/>
    </w:pPr>
    <w:rPr>
      <w:rFonts w:ascii="Calibri" w:hAnsi="Calibri" w:cs="Calibri"/>
      <w:sz w:val="20"/>
      <w:szCs w:val="20"/>
      <w:lang w:val="sr-Cyrl-CS"/>
    </w:rPr>
  </w:style>
  <w:style w:type="character" w:styleId="Strong">
    <w:name w:val="Strong"/>
    <w:uiPriority w:val="22"/>
    <w:qFormat/>
    <w:rsid w:val="00606F5D"/>
    <w:rPr>
      <w:b/>
      <w:bCs/>
    </w:rPr>
  </w:style>
  <w:style w:type="paragraph" w:customStyle="1" w:styleId="a">
    <w:name w:val="Литература"/>
    <w:basedOn w:val="Normal"/>
    <w:link w:val="Char1"/>
    <w:qFormat/>
    <w:rsid w:val="00606F5D"/>
    <w:pPr>
      <w:widowControl/>
      <w:numPr>
        <w:numId w:val="4"/>
      </w:numPr>
      <w:autoSpaceDE/>
      <w:autoSpaceDN/>
      <w:jc w:val="both"/>
    </w:pPr>
    <w:rPr>
      <w:sz w:val="18"/>
      <w:szCs w:val="18"/>
    </w:rPr>
  </w:style>
  <w:style w:type="character" w:customStyle="1" w:styleId="Char1">
    <w:name w:val="Литература Char"/>
    <w:link w:val="a"/>
    <w:rsid w:val="00606F5D"/>
    <w:rPr>
      <w:rFonts w:ascii="Times New Roman" w:eastAsia="Times New Roman" w:hAnsi="Times New Roman" w:cs="Times New Roman"/>
      <w:sz w:val="18"/>
      <w:szCs w:val="18"/>
    </w:rPr>
  </w:style>
  <w:style w:type="character" w:customStyle="1" w:styleId="cf01">
    <w:name w:val="cf01"/>
    <w:basedOn w:val="DefaultParagraphFont"/>
    <w:rsid w:val="00606F5D"/>
    <w:rPr>
      <w:rFonts w:ascii="Segoe UI" w:hAnsi="Segoe UI" w:cs="Segoe UI" w:hint="default"/>
      <w:sz w:val="18"/>
      <w:szCs w:val="18"/>
    </w:rPr>
  </w:style>
  <w:style w:type="paragraph" w:customStyle="1" w:styleId="Prilozi">
    <w:name w:val="Prilozi"/>
    <w:basedOn w:val="Normal"/>
    <w:qFormat/>
    <w:rsid w:val="00606F5D"/>
    <w:pPr>
      <w:keepNext/>
      <w:autoSpaceDE/>
      <w:autoSpaceDN/>
      <w:spacing w:before="240" w:after="120"/>
      <w:jc w:val="both"/>
      <w:outlineLvl w:val="0"/>
    </w:pPr>
    <w:rPr>
      <w:rFonts w:cs="Arial"/>
      <w:b/>
      <w:bCs/>
      <w:caps/>
      <w:w w:val="80"/>
      <w:sz w:val="28"/>
      <w:szCs w:val="48"/>
      <w:lang w:val="sr-Cyrl-RS"/>
    </w:rPr>
  </w:style>
  <w:style w:type="paragraph" w:customStyle="1" w:styleId="Normal1">
    <w:name w:val="Normal1"/>
    <w:basedOn w:val="Normal"/>
    <w:rsid w:val="009A1F17"/>
    <w:pPr>
      <w:widowControl/>
      <w:autoSpaceDE/>
      <w:autoSpaceDN/>
      <w:spacing w:before="100" w:beforeAutospacing="1" w:after="100" w:afterAutospacing="1"/>
    </w:pPr>
    <w:rPr>
      <w:rFonts w:ascii="Arial" w:hAnsi="Arial" w:cs="Arial"/>
      <w:lang w:val="sr-Latn-RS" w:eastAsia="sr-Latn-CS"/>
    </w:rPr>
  </w:style>
  <w:style w:type="paragraph" w:customStyle="1" w:styleId="basic-paragraph">
    <w:name w:val="basic-paragraph"/>
    <w:basedOn w:val="Normal"/>
    <w:rsid w:val="00D23D60"/>
    <w:pPr>
      <w:widowControl/>
      <w:autoSpaceDE/>
      <w:autoSpaceDN/>
      <w:spacing w:before="100" w:beforeAutospacing="1" w:after="100" w:afterAutospacing="1"/>
    </w:pPr>
    <w:rPr>
      <w:sz w:val="24"/>
      <w:szCs w:val="24"/>
    </w:rPr>
  </w:style>
  <w:style w:type="character" w:customStyle="1" w:styleId="bold">
    <w:name w:val="bold"/>
    <w:basedOn w:val="DefaultParagraphFont"/>
    <w:rsid w:val="00D23D60"/>
  </w:style>
  <w:style w:type="paragraph" w:customStyle="1" w:styleId="bold1">
    <w:name w:val="bold1"/>
    <w:basedOn w:val="Normal"/>
    <w:rsid w:val="00D23D60"/>
    <w:pPr>
      <w:widowControl/>
      <w:autoSpaceDE/>
      <w:autoSpaceDN/>
      <w:spacing w:before="100" w:beforeAutospacing="1" w:after="100" w:afterAutospacing="1"/>
    </w:pPr>
    <w:rPr>
      <w:sz w:val="24"/>
      <w:szCs w:val="24"/>
    </w:rPr>
  </w:style>
  <w:style w:type="paragraph" w:customStyle="1" w:styleId="tabela">
    <w:name w:val="tabela"/>
    <w:basedOn w:val="Normal"/>
    <w:rsid w:val="00D23D60"/>
    <w:pPr>
      <w:widowControl/>
      <w:autoSpaceDE/>
      <w:autoSpaceDN/>
      <w:spacing w:before="100" w:beforeAutospacing="1" w:after="100" w:afterAutospacing="1"/>
    </w:pPr>
    <w:rPr>
      <w:sz w:val="24"/>
      <w:szCs w:val="24"/>
    </w:rPr>
  </w:style>
  <w:style w:type="character" w:customStyle="1" w:styleId="italik">
    <w:name w:val="italik"/>
    <w:basedOn w:val="DefaultParagraphFont"/>
    <w:rsid w:val="00D23D60"/>
  </w:style>
  <w:style w:type="character" w:customStyle="1" w:styleId="superscript">
    <w:name w:val="superscript"/>
    <w:basedOn w:val="DefaultParagraphFont"/>
    <w:rsid w:val="00D23D6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footer"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Times New Roman" w:eastAsia="Times New Roman" w:hAnsi="Times New Roman" w:cs="Times New Roman"/>
    </w:rPr>
  </w:style>
  <w:style w:type="paragraph" w:styleId="Heading1">
    <w:name w:val="heading 1"/>
    <w:basedOn w:val="Normal"/>
    <w:next w:val="Normal"/>
    <w:link w:val="Heading1Char"/>
    <w:uiPriority w:val="9"/>
    <w:qFormat/>
    <w:rsid w:val="00E621AF"/>
    <w:pPr>
      <w:keepNext/>
      <w:keepLines/>
      <w:widowControl/>
      <w:autoSpaceDE/>
      <w:autoSpaceDN/>
      <w:spacing w:before="480" w:after="200" w:line="276" w:lineRule="auto"/>
      <w:outlineLvl w:val="0"/>
    </w:pPr>
    <w:rPr>
      <w:rFonts w:ascii="Calibri Light" w:hAnsi="Calibri Light"/>
      <w:b/>
      <w:bCs/>
      <w:color w:val="2E74B5"/>
      <w:sz w:val="28"/>
      <w:szCs w:val="28"/>
    </w:rPr>
  </w:style>
  <w:style w:type="paragraph" w:styleId="Heading2">
    <w:name w:val="heading 2"/>
    <w:basedOn w:val="Normal"/>
    <w:next w:val="Normal"/>
    <w:link w:val="Heading2Char"/>
    <w:uiPriority w:val="9"/>
    <w:unhideWhenUsed/>
    <w:qFormat/>
    <w:rsid w:val="00E621AF"/>
    <w:pPr>
      <w:keepNext/>
      <w:keepLines/>
      <w:widowControl/>
      <w:autoSpaceDE/>
      <w:autoSpaceDN/>
      <w:spacing w:before="200" w:after="200" w:line="276" w:lineRule="auto"/>
      <w:outlineLvl w:val="1"/>
    </w:pPr>
    <w:rPr>
      <w:rFonts w:ascii="Calibri Light" w:hAnsi="Calibri Light"/>
      <w:b/>
      <w:bCs/>
      <w:color w:val="5B9BD5"/>
      <w:sz w:val="26"/>
      <w:szCs w:val="26"/>
    </w:rPr>
  </w:style>
  <w:style w:type="paragraph" w:styleId="Heading3">
    <w:name w:val="heading 3"/>
    <w:basedOn w:val="Normal"/>
    <w:next w:val="Normal"/>
    <w:link w:val="Heading3Char"/>
    <w:uiPriority w:val="9"/>
    <w:unhideWhenUsed/>
    <w:qFormat/>
    <w:rsid w:val="00E621AF"/>
    <w:pPr>
      <w:keepNext/>
      <w:keepLines/>
      <w:widowControl/>
      <w:autoSpaceDE/>
      <w:autoSpaceDN/>
      <w:spacing w:before="200" w:after="200" w:line="276" w:lineRule="auto"/>
      <w:outlineLvl w:val="2"/>
    </w:pPr>
    <w:rPr>
      <w:rFonts w:ascii="Calibri Light" w:hAnsi="Calibri Light"/>
      <w:b/>
      <w:bCs/>
      <w:color w:val="5B9BD5"/>
    </w:rPr>
  </w:style>
  <w:style w:type="paragraph" w:styleId="Heading4">
    <w:name w:val="heading 4"/>
    <w:basedOn w:val="Normal"/>
    <w:link w:val="Heading4Char"/>
    <w:uiPriority w:val="9"/>
    <w:qFormat/>
    <w:rsid w:val="00E621AF"/>
    <w:pPr>
      <w:widowControl/>
      <w:autoSpaceDE/>
      <w:autoSpaceDN/>
      <w:outlineLvl w:val="3"/>
    </w:pPr>
    <w:rPr>
      <w:rFonts w:ascii="Arial" w:hAnsi="Arial" w:cs="Arial"/>
      <w:b/>
      <w:bCs/>
      <w:sz w:val="24"/>
      <w:szCs w:val="24"/>
      <w:lang w:val="sr-Latn-RS" w:eastAsia="sr-Latn-R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8"/>
      <w:szCs w:val="18"/>
    </w:rPr>
  </w:style>
  <w:style w:type="paragraph" w:styleId="ListParagraph">
    <w:name w:val="List Paragraph"/>
    <w:basedOn w:val="Normal"/>
    <w:uiPriority w:val="34"/>
    <w:qFormat/>
    <w:pPr>
      <w:spacing w:before="31"/>
      <w:ind w:left="790" w:hanging="340"/>
    </w:pPr>
  </w:style>
  <w:style w:type="paragraph" w:customStyle="1" w:styleId="TableParagraph">
    <w:name w:val="Table Paragraph"/>
    <w:basedOn w:val="Normal"/>
    <w:uiPriority w:val="1"/>
    <w:qFormat/>
    <w:pPr>
      <w:spacing w:before="17"/>
      <w:ind w:left="56"/>
    </w:pPr>
  </w:style>
  <w:style w:type="character" w:customStyle="1" w:styleId="Heading1Char">
    <w:name w:val="Heading 1 Char"/>
    <w:basedOn w:val="DefaultParagraphFont"/>
    <w:link w:val="Heading1"/>
    <w:uiPriority w:val="9"/>
    <w:rsid w:val="00E621AF"/>
    <w:rPr>
      <w:rFonts w:ascii="Calibri Light" w:eastAsia="Times New Roman" w:hAnsi="Calibri Light" w:cs="Times New Roman"/>
      <w:b/>
      <w:bCs/>
      <w:color w:val="2E74B5"/>
      <w:sz w:val="28"/>
      <w:szCs w:val="28"/>
    </w:rPr>
  </w:style>
  <w:style w:type="character" w:customStyle="1" w:styleId="Heading2Char">
    <w:name w:val="Heading 2 Char"/>
    <w:basedOn w:val="DefaultParagraphFont"/>
    <w:link w:val="Heading2"/>
    <w:uiPriority w:val="9"/>
    <w:rsid w:val="00E621AF"/>
    <w:rPr>
      <w:rFonts w:ascii="Calibri Light" w:eastAsia="Times New Roman" w:hAnsi="Calibri Light" w:cs="Times New Roman"/>
      <w:b/>
      <w:bCs/>
      <w:color w:val="5B9BD5"/>
      <w:sz w:val="26"/>
      <w:szCs w:val="26"/>
    </w:rPr>
  </w:style>
  <w:style w:type="character" w:customStyle="1" w:styleId="Heading3Char">
    <w:name w:val="Heading 3 Char"/>
    <w:basedOn w:val="DefaultParagraphFont"/>
    <w:link w:val="Heading3"/>
    <w:uiPriority w:val="9"/>
    <w:rsid w:val="00E621AF"/>
    <w:rPr>
      <w:rFonts w:ascii="Calibri Light" w:eastAsia="Times New Roman" w:hAnsi="Calibri Light" w:cs="Times New Roman"/>
      <w:b/>
      <w:bCs/>
      <w:color w:val="5B9BD5"/>
    </w:rPr>
  </w:style>
  <w:style w:type="character" w:customStyle="1" w:styleId="Heading4Char">
    <w:name w:val="Heading 4 Char"/>
    <w:basedOn w:val="DefaultParagraphFont"/>
    <w:link w:val="Heading4"/>
    <w:uiPriority w:val="9"/>
    <w:rsid w:val="00E621AF"/>
    <w:rPr>
      <w:rFonts w:ascii="Arial" w:eastAsia="Times New Roman" w:hAnsi="Arial" w:cs="Arial"/>
      <w:b/>
      <w:bCs/>
      <w:sz w:val="24"/>
      <w:szCs w:val="24"/>
      <w:lang w:val="sr-Latn-RS" w:eastAsia="sr-Latn-RS"/>
    </w:rPr>
  </w:style>
  <w:style w:type="paragraph" w:customStyle="1" w:styleId="clan">
    <w:name w:val="clan"/>
    <w:basedOn w:val="Normal"/>
    <w:next w:val="Normal"/>
    <w:qFormat/>
    <w:rsid w:val="00E621AF"/>
    <w:pPr>
      <w:widowControl/>
      <w:autoSpaceDE/>
      <w:autoSpaceDN/>
      <w:spacing w:before="240"/>
      <w:contextualSpacing/>
      <w:jc w:val="center"/>
    </w:pPr>
    <w:rPr>
      <w:rFonts w:eastAsia="Calibri"/>
      <w:b/>
      <w:noProof/>
      <w:sz w:val="18"/>
      <w:szCs w:val="18"/>
    </w:rPr>
  </w:style>
  <w:style w:type="paragraph" w:customStyle="1" w:styleId="110">
    <w:name w:val="110"/>
    <w:basedOn w:val="clan"/>
    <w:next w:val="clan"/>
    <w:qFormat/>
    <w:rsid w:val="00E621AF"/>
    <w:pPr>
      <w:spacing w:before="0"/>
    </w:pPr>
    <w:rPr>
      <w:sz w:val="24"/>
    </w:rPr>
  </w:style>
  <w:style w:type="paragraph" w:customStyle="1" w:styleId="120">
    <w:name w:val="120"/>
    <w:basedOn w:val="110"/>
    <w:qFormat/>
    <w:rsid w:val="00E621AF"/>
    <w:pPr>
      <w:spacing w:after="120"/>
    </w:pPr>
    <w:rPr>
      <w:i/>
    </w:rPr>
  </w:style>
  <w:style w:type="table" w:customStyle="1" w:styleId="TableGrid">
    <w:name w:val="TableGrid"/>
    <w:rsid w:val="00E621AF"/>
    <w:pPr>
      <w:widowControl/>
      <w:autoSpaceDE/>
      <w:autoSpaceDN/>
    </w:pPr>
    <w:rPr>
      <w:rFonts w:ascii="Calibri" w:eastAsia="Times New Roman" w:hAnsi="Calibri" w:cs="Times New Roman"/>
      <w:lang w:val="sr-Latn-RS" w:eastAsia="sr-Latn-RS"/>
    </w:rPr>
    <w:tblPr>
      <w:tblCellMar>
        <w:top w:w="0" w:type="dxa"/>
        <w:left w:w="0" w:type="dxa"/>
        <w:bottom w:w="0" w:type="dxa"/>
        <w:right w:w="0" w:type="dxa"/>
      </w:tblCellMar>
    </w:tblPr>
  </w:style>
  <w:style w:type="paragraph" w:styleId="Title">
    <w:name w:val="Title"/>
    <w:basedOn w:val="Normal"/>
    <w:next w:val="Normal"/>
    <w:link w:val="TitleChar"/>
    <w:uiPriority w:val="10"/>
    <w:qFormat/>
    <w:rsid w:val="00E621AF"/>
    <w:pPr>
      <w:widowControl/>
      <w:autoSpaceDE/>
      <w:autoSpaceDN/>
      <w:spacing w:before="120" w:after="60"/>
      <w:contextualSpacing/>
      <w:outlineLvl w:val="0"/>
    </w:pPr>
    <w:rPr>
      <w:rFonts w:ascii="Arial Bold" w:hAnsi="Arial Bold" w:cs="Arial"/>
      <w:bCs/>
      <w:noProof/>
      <w:color w:val="323E4F"/>
      <w:kern w:val="28"/>
      <w:szCs w:val="24"/>
      <w:lang w:val="sr-Latn-RS"/>
    </w:rPr>
  </w:style>
  <w:style w:type="character" w:customStyle="1" w:styleId="TitleChar">
    <w:name w:val="Title Char"/>
    <w:basedOn w:val="DefaultParagraphFont"/>
    <w:link w:val="Title"/>
    <w:uiPriority w:val="10"/>
    <w:rsid w:val="00E621AF"/>
    <w:rPr>
      <w:rFonts w:ascii="Arial Bold" w:eastAsia="Times New Roman" w:hAnsi="Arial Bold" w:cs="Arial"/>
      <w:bCs/>
      <w:noProof/>
      <w:color w:val="323E4F"/>
      <w:kern w:val="28"/>
      <w:szCs w:val="24"/>
      <w:lang w:val="sr-Latn-RS"/>
    </w:rPr>
  </w:style>
  <w:style w:type="paragraph" w:styleId="Header">
    <w:name w:val="header"/>
    <w:basedOn w:val="Normal"/>
    <w:link w:val="HeaderChar"/>
    <w:uiPriority w:val="99"/>
    <w:unhideWhenUsed/>
    <w:rsid w:val="00E621AF"/>
    <w:pPr>
      <w:widowControl/>
      <w:tabs>
        <w:tab w:val="center" w:pos="4536"/>
        <w:tab w:val="right" w:pos="9072"/>
      </w:tabs>
      <w:autoSpaceDE/>
      <w:autoSpaceDN/>
      <w:contextualSpacing/>
    </w:pPr>
    <w:rPr>
      <w:rFonts w:eastAsia="Calibri"/>
      <w:noProof/>
      <w:sz w:val="18"/>
      <w:szCs w:val="18"/>
      <w:lang w:val="sr-Latn-RS"/>
    </w:rPr>
  </w:style>
  <w:style w:type="character" w:customStyle="1" w:styleId="HeaderChar">
    <w:name w:val="Header Char"/>
    <w:basedOn w:val="DefaultParagraphFont"/>
    <w:link w:val="Header"/>
    <w:uiPriority w:val="99"/>
    <w:rsid w:val="00E621AF"/>
    <w:rPr>
      <w:rFonts w:ascii="Times New Roman" w:eastAsia="Calibri" w:hAnsi="Times New Roman" w:cs="Times New Roman"/>
      <w:noProof/>
      <w:sz w:val="18"/>
      <w:szCs w:val="18"/>
      <w:lang w:val="sr-Latn-RS"/>
    </w:rPr>
  </w:style>
  <w:style w:type="paragraph" w:styleId="Footer">
    <w:name w:val="footer"/>
    <w:aliases w:val="Char Char Char Char,Char,Char Char Char Char Char Char Char,Char Char Char Char Char Char Char Char Char,Char Char Char Char Char Char Char Char Char Char Char Char Char,Char Char Char Char Char Char,Char1,Char Cha, Char"/>
    <w:basedOn w:val="Normal"/>
    <w:link w:val="FooterChar"/>
    <w:uiPriority w:val="99"/>
    <w:unhideWhenUsed/>
    <w:qFormat/>
    <w:rsid w:val="00E621AF"/>
    <w:pPr>
      <w:widowControl/>
      <w:tabs>
        <w:tab w:val="center" w:pos="4536"/>
        <w:tab w:val="right" w:pos="9072"/>
      </w:tabs>
      <w:autoSpaceDE/>
      <w:autoSpaceDN/>
      <w:contextualSpacing/>
      <w:jc w:val="center"/>
    </w:pPr>
    <w:rPr>
      <w:rFonts w:ascii="Arial" w:eastAsia="Calibri" w:hAnsi="Arial"/>
      <w:b/>
      <w:sz w:val="20"/>
      <w:szCs w:val="18"/>
      <w:lang w:val="sr-Latn-RS"/>
    </w:rPr>
  </w:style>
  <w:style w:type="character" w:customStyle="1" w:styleId="FooterChar">
    <w:name w:val="Footer Char"/>
    <w:aliases w:val="Char Char Char Char Char,Char Char,Char Char Char Char Char Char Char Char,Char Char Char Char Char Char Char Char Char Char,Char Char Char Char Char Char Char Char Char Char Char Char Char Char,Char Char Char Char Char Char Char1,Char1 Char"/>
    <w:basedOn w:val="DefaultParagraphFont"/>
    <w:link w:val="Footer"/>
    <w:uiPriority w:val="99"/>
    <w:qFormat/>
    <w:rsid w:val="00E621AF"/>
    <w:rPr>
      <w:rFonts w:ascii="Arial" w:eastAsia="Calibri" w:hAnsi="Arial" w:cs="Times New Roman"/>
      <w:b/>
      <w:sz w:val="20"/>
      <w:szCs w:val="18"/>
      <w:lang w:val="sr-Latn-RS"/>
    </w:rPr>
  </w:style>
  <w:style w:type="table" w:styleId="TableGrid0">
    <w:name w:val="Table Grid"/>
    <w:basedOn w:val="TableNormal"/>
    <w:uiPriority w:val="39"/>
    <w:rsid w:val="00E621AF"/>
    <w:pPr>
      <w:widowControl/>
      <w:autoSpaceDE/>
      <w:autoSpaceDN/>
    </w:pPr>
    <w:rPr>
      <w:rFonts w:ascii="Calibri" w:eastAsia="Calibri" w:hAnsi="Calibri" w:cs="Times New Roman"/>
      <w:sz w:val="20"/>
      <w:szCs w:val="20"/>
      <w:lang w:val="sr-Latn-RS" w:eastAsia="sr-Latn-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E621AF"/>
    <w:pPr>
      <w:widowControl/>
      <w:autoSpaceDE/>
      <w:autoSpaceDN/>
      <w:contextualSpacing/>
    </w:pPr>
    <w:rPr>
      <w:rFonts w:ascii="Garamond" w:eastAsia="Calibri" w:hAnsi="Garamond" w:cs="Times New Roman"/>
      <w:noProof/>
      <w:sz w:val="18"/>
      <w:szCs w:val="18"/>
      <w:lang w:val="sr-Latn-RS"/>
    </w:rPr>
  </w:style>
  <w:style w:type="paragraph" w:customStyle="1" w:styleId="NASLOVZLATO">
    <w:name w:val="NASLOV ZLATO"/>
    <w:basedOn w:val="Title"/>
    <w:qFormat/>
    <w:rsid w:val="00E621AF"/>
    <w:pPr>
      <w:jc w:val="center"/>
    </w:pPr>
    <w:rPr>
      <w:rFonts w:ascii="Arial" w:hAnsi="Arial"/>
      <w:b/>
      <w:color w:val="FFE599"/>
      <w:sz w:val="24"/>
      <w:lang w:eastAsia="sr-Latn-RS"/>
    </w:rPr>
  </w:style>
  <w:style w:type="paragraph" w:customStyle="1" w:styleId="NASLOVBELO">
    <w:name w:val="NASLOV BELO"/>
    <w:basedOn w:val="Title"/>
    <w:rsid w:val="00E621AF"/>
    <w:pPr>
      <w:jc w:val="center"/>
    </w:pPr>
    <w:rPr>
      <w:rFonts w:ascii="Arial" w:hAnsi="Arial"/>
      <w:b/>
      <w:color w:val="FFFFFF"/>
      <w:sz w:val="24"/>
      <w:lang w:eastAsia="sr-Latn-RS"/>
    </w:rPr>
  </w:style>
  <w:style w:type="paragraph" w:customStyle="1" w:styleId="podnaslovpropisa">
    <w:name w:val="podnaslovpropisa"/>
    <w:basedOn w:val="Normal"/>
    <w:rsid w:val="00E621AF"/>
    <w:pPr>
      <w:widowControl/>
      <w:shd w:val="clear" w:color="auto" w:fill="000000"/>
      <w:autoSpaceDE/>
      <w:autoSpaceDN/>
      <w:spacing w:before="100" w:beforeAutospacing="1" w:after="100" w:afterAutospacing="1" w:line="264" w:lineRule="auto"/>
      <w:jc w:val="center"/>
    </w:pPr>
    <w:rPr>
      <w:rFonts w:ascii="Arial" w:hAnsi="Arial" w:cs="Arial"/>
      <w:i/>
      <w:iCs/>
      <w:color w:val="FFE8BF"/>
      <w:sz w:val="20"/>
      <w:szCs w:val="20"/>
      <w:lang w:val="sr-Latn-RS" w:eastAsia="sr-Latn-RS"/>
    </w:rPr>
  </w:style>
  <w:style w:type="paragraph" w:customStyle="1" w:styleId="normalprored">
    <w:name w:val="normalprored"/>
    <w:basedOn w:val="Normal"/>
    <w:rsid w:val="00E621AF"/>
    <w:pPr>
      <w:widowControl/>
      <w:autoSpaceDE/>
      <w:autoSpaceDN/>
    </w:pPr>
    <w:rPr>
      <w:rFonts w:ascii="Arial" w:hAnsi="Arial" w:cs="Arial"/>
      <w:sz w:val="26"/>
      <w:szCs w:val="26"/>
      <w:lang w:val="sr-Latn-RS" w:eastAsia="sr-Latn-RS"/>
    </w:rPr>
  </w:style>
  <w:style w:type="paragraph" w:customStyle="1" w:styleId="wyq060---pododeljak">
    <w:name w:val="wyq060---pododeljak"/>
    <w:basedOn w:val="Normal"/>
    <w:rsid w:val="00E621AF"/>
    <w:pPr>
      <w:widowControl/>
      <w:autoSpaceDE/>
      <w:autoSpaceDN/>
      <w:jc w:val="center"/>
    </w:pPr>
    <w:rPr>
      <w:rFonts w:ascii="Arial" w:hAnsi="Arial" w:cs="Arial"/>
      <w:sz w:val="31"/>
      <w:szCs w:val="31"/>
      <w:lang w:val="sr-Latn-RS" w:eastAsia="sr-Latn-RS"/>
    </w:rPr>
  </w:style>
  <w:style w:type="numbering" w:customStyle="1" w:styleId="NoList1">
    <w:name w:val="No List1"/>
    <w:next w:val="NoList"/>
    <w:uiPriority w:val="99"/>
    <w:semiHidden/>
    <w:unhideWhenUsed/>
    <w:rsid w:val="00E621AF"/>
  </w:style>
  <w:style w:type="paragraph" w:styleId="NormalIndent">
    <w:name w:val="Normal Indent"/>
    <w:basedOn w:val="Normal"/>
    <w:uiPriority w:val="99"/>
    <w:unhideWhenUsed/>
    <w:rsid w:val="00E621AF"/>
    <w:pPr>
      <w:widowControl/>
      <w:autoSpaceDE/>
      <w:autoSpaceDN/>
      <w:spacing w:after="200" w:line="276" w:lineRule="auto"/>
      <w:ind w:left="720"/>
    </w:pPr>
    <w:rPr>
      <w:rFonts w:ascii="Verdana" w:eastAsia="Calibri" w:hAnsi="Verdana" w:cs="Verdana"/>
    </w:rPr>
  </w:style>
  <w:style w:type="paragraph" w:styleId="Subtitle">
    <w:name w:val="Subtitle"/>
    <w:basedOn w:val="Normal"/>
    <w:next w:val="Normal"/>
    <w:link w:val="SubtitleChar"/>
    <w:uiPriority w:val="11"/>
    <w:qFormat/>
    <w:rsid w:val="00E621AF"/>
    <w:pPr>
      <w:widowControl/>
      <w:numPr>
        <w:ilvl w:val="1"/>
      </w:numPr>
      <w:autoSpaceDE/>
      <w:autoSpaceDN/>
      <w:spacing w:after="200" w:line="276" w:lineRule="auto"/>
      <w:ind w:left="86"/>
    </w:pPr>
    <w:rPr>
      <w:rFonts w:ascii="Calibri Light" w:hAnsi="Calibri Light"/>
      <w:i/>
      <w:iCs/>
      <w:color w:val="5B9BD5"/>
      <w:spacing w:val="15"/>
      <w:sz w:val="24"/>
      <w:szCs w:val="24"/>
    </w:rPr>
  </w:style>
  <w:style w:type="character" w:customStyle="1" w:styleId="SubtitleChar">
    <w:name w:val="Subtitle Char"/>
    <w:basedOn w:val="DefaultParagraphFont"/>
    <w:link w:val="Subtitle"/>
    <w:uiPriority w:val="11"/>
    <w:rsid w:val="00E621AF"/>
    <w:rPr>
      <w:rFonts w:ascii="Calibri Light" w:eastAsia="Times New Roman" w:hAnsi="Calibri Light" w:cs="Times New Roman"/>
      <w:i/>
      <w:iCs/>
      <w:color w:val="5B9BD5"/>
      <w:spacing w:val="15"/>
      <w:sz w:val="24"/>
      <w:szCs w:val="24"/>
    </w:rPr>
  </w:style>
  <w:style w:type="character" w:styleId="Emphasis">
    <w:name w:val="Emphasis"/>
    <w:uiPriority w:val="20"/>
    <w:qFormat/>
    <w:rsid w:val="00E621AF"/>
    <w:rPr>
      <w:i/>
      <w:iCs/>
    </w:rPr>
  </w:style>
  <w:style w:type="character" w:styleId="Hyperlink">
    <w:name w:val="Hyperlink"/>
    <w:uiPriority w:val="99"/>
    <w:unhideWhenUsed/>
    <w:rsid w:val="00E621AF"/>
    <w:rPr>
      <w:color w:val="0563C1"/>
      <w:u w:val="single"/>
    </w:rPr>
  </w:style>
  <w:style w:type="table" w:customStyle="1" w:styleId="TableGrid1">
    <w:name w:val="Table Grid1"/>
    <w:basedOn w:val="TableNormal"/>
    <w:next w:val="TableGrid0"/>
    <w:uiPriority w:val="59"/>
    <w:rsid w:val="00E621AF"/>
    <w:pPr>
      <w:widowControl/>
      <w:autoSpaceDE/>
      <w:autoSpaceDN/>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aption">
    <w:name w:val="caption"/>
    <w:basedOn w:val="Normal"/>
    <w:next w:val="Normal"/>
    <w:uiPriority w:val="35"/>
    <w:semiHidden/>
    <w:unhideWhenUsed/>
    <w:qFormat/>
    <w:rsid w:val="00E621AF"/>
    <w:pPr>
      <w:widowControl/>
      <w:autoSpaceDE/>
      <w:autoSpaceDN/>
      <w:spacing w:after="200"/>
    </w:pPr>
    <w:rPr>
      <w:rFonts w:ascii="Verdana" w:eastAsia="Calibri" w:hAnsi="Verdana" w:cs="Verdana"/>
      <w:b/>
      <w:bCs/>
      <w:color w:val="5B9BD5"/>
      <w:sz w:val="18"/>
      <w:szCs w:val="18"/>
    </w:rPr>
  </w:style>
  <w:style w:type="paragraph" w:customStyle="1" w:styleId="DocDefaults">
    <w:name w:val="DocDefaults"/>
    <w:rsid w:val="00E621AF"/>
    <w:pPr>
      <w:widowControl/>
      <w:autoSpaceDE/>
      <w:autoSpaceDN/>
      <w:spacing w:after="200" w:line="276" w:lineRule="auto"/>
    </w:pPr>
    <w:rPr>
      <w:rFonts w:ascii="Calibri" w:eastAsia="Calibri" w:hAnsi="Calibri" w:cs="Times New Roman"/>
    </w:rPr>
  </w:style>
  <w:style w:type="character" w:styleId="FollowedHyperlink">
    <w:name w:val="FollowedHyperlink"/>
    <w:uiPriority w:val="99"/>
    <w:semiHidden/>
    <w:unhideWhenUsed/>
    <w:rsid w:val="00E621AF"/>
    <w:rPr>
      <w:color w:val="954F72"/>
      <w:u w:val="single"/>
    </w:rPr>
  </w:style>
  <w:style w:type="numbering" w:customStyle="1" w:styleId="NoList2">
    <w:name w:val="No List2"/>
    <w:next w:val="NoList"/>
    <w:uiPriority w:val="99"/>
    <w:semiHidden/>
    <w:unhideWhenUsed/>
    <w:rsid w:val="00E621AF"/>
  </w:style>
  <w:style w:type="table" w:customStyle="1" w:styleId="TableGrid2">
    <w:name w:val="Table Grid2"/>
    <w:basedOn w:val="TableNormal"/>
    <w:next w:val="TableGrid0"/>
    <w:uiPriority w:val="59"/>
    <w:rsid w:val="00E621AF"/>
    <w:pPr>
      <w:widowControl/>
      <w:autoSpaceDE/>
      <w:autoSpaceDN/>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
    <w:name w:val="No List3"/>
    <w:next w:val="NoList"/>
    <w:uiPriority w:val="99"/>
    <w:semiHidden/>
    <w:unhideWhenUsed/>
    <w:rsid w:val="00E621AF"/>
  </w:style>
  <w:style w:type="table" w:customStyle="1" w:styleId="TableGrid3">
    <w:name w:val="Table Grid3"/>
    <w:basedOn w:val="TableNormal"/>
    <w:next w:val="TableGrid0"/>
    <w:uiPriority w:val="59"/>
    <w:rsid w:val="00E621AF"/>
    <w:pPr>
      <w:widowControl/>
      <w:autoSpaceDE/>
      <w:autoSpaceDN/>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4">
    <w:name w:val="No List4"/>
    <w:next w:val="NoList"/>
    <w:uiPriority w:val="99"/>
    <w:semiHidden/>
    <w:unhideWhenUsed/>
    <w:rsid w:val="00E621AF"/>
  </w:style>
  <w:style w:type="table" w:customStyle="1" w:styleId="TableGrid4">
    <w:name w:val="Table Grid4"/>
    <w:basedOn w:val="TableNormal"/>
    <w:next w:val="TableGrid0"/>
    <w:uiPriority w:val="59"/>
    <w:rsid w:val="00E621AF"/>
    <w:pPr>
      <w:widowControl/>
      <w:autoSpaceDE/>
      <w:autoSpaceDN/>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
    <w:name w:val="No List5"/>
    <w:next w:val="NoList"/>
    <w:uiPriority w:val="99"/>
    <w:semiHidden/>
    <w:unhideWhenUsed/>
    <w:rsid w:val="00E621AF"/>
  </w:style>
  <w:style w:type="table" w:customStyle="1" w:styleId="TableGrid5">
    <w:name w:val="Table Grid5"/>
    <w:basedOn w:val="TableNormal"/>
    <w:next w:val="TableGrid0"/>
    <w:uiPriority w:val="59"/>
    <w:rsid w:val="00E621AF"/>
    <w:pPr>
      <w:widowControl/>
      <w:autoSpaceDE/>
      <w:autoSpaceDN/>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
    <w:name w:val="No List6"/>
    <w:next w:val="NoList"/>
    <w:uiPriority w:val="99"/>
    <w:semiHidden/>
    <w:unhideWhenUsed/>
    <w:rsid w:val="00606F5D"/>
  </w:style>
  <w:style w:type="table" w:customStyle="1" w:styleId="TableGrid6">
    <w:name w:val="Table Grid6"/>
    <w:basedOn w:val="TableNormal"/>
    <w:next w:val="TableGrid0"/>
    <w:uiPriority w:val="39"/>
    <w:rsid w:val="00606F5D"/>
    <w:pPr>
      <w:widowControl/>
      <w:autoSpaceDE/>
      <w:autoSpaceDN/>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unhideWhenUsed/>
    <w:rsid w:val="00606F5D"/>
    <w:rPr>
      <w:sz w:val="16"/>
      <w:szCs w:val="16"/>
    </w:rPr>
  </w:style>
  <w:style w:type="paragraph" w:customStyle="1" w:styleId="CommentText1">
    <w:name w:val="Comment Text1"/>
    <w:basedOn w:val="Normal"/>
    <w:next w:val="CommentText"/>
    <w:link w:val="CommentTextChar"/>
    <w:uiPriority w:val="99"/>
    <w:unhideWhenUsed/>
    <w:rsid w:val="00606F5D"/>
    <w:pPr>
      <w:widowControl/>
      <w:autoSpaceDE/>
      <w:autoSpaceDN/>
      <w:spacing w:after="160"/>
    </w:pPr>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1"/>
    <w:uiPriority w:val="99"/>
    <w:rsid w:val="00606F5D"/>
    <w:rPr>
      <w:sz w:val="20"/>
      <w:szCs w:val="20"/>
    </w:rPr>
  </w:style>
  <w:style w:type="paragraph" w:customStyle="1" w:styleId="CommentSubject1">
    <w:name w:val="Comment Subject1"/>
    <w:basedOn w:val="CommentText"/>
    <w:next w:val="CommentText"/>
    <w:uiPriority w:val="99"/>
    <w:semiHidden/>
    <w:unhideWhenUsed/>
    <w:rsid w:val="00606F5D"/>
    <w:pPr>
      <w:widowControl/>
      <w:autoSpaceDE/>
      <w:autoSpaceDN/>
      <w:spacing w:after="160"/>
    </w:pPr>
    <w:rPr>
      <w:rFonts w:ascii="Calibri" w:eastAsia="Calibri" w:hAnsi="Calibri"/>
      <w:b/>
      <w:bCs/>
    </w:rPr>
  </w:style>
  <w:style w:type="character" w:customStyle="1" w:styleId="CommentSubjectChar">
    <w:name w:val="Comment Subject Char"/>
    <w:basedOn w:val="CommentTextChar"/>
    <w:link w:val="CommentSubject"/>
    <w:uiPriority w:val="99"/>
    <w:semiHidden/>
    <w:rsid w:val="00606F5D"/>
    <w:rPr>
      <w:sz w:val="20"/>
      <w:szCs w:val="20"/>
    </w:rPr>
  </w:style>
  <w:style w:type="paragraph" w:customStyle="1" w:styleId="BalloonText1">
    <w:name w:val="Balloon Text1"/>
    <w:basedOn w:val="Normal"/>
    <w:next w:val="BalloonText"/>
    <w:link w:val="BalloonTextChar"/>
    <w:uiPriority w:val="99"/>
    <w:semiHidden/>
    <w:unhideWhenUsed/>
    <w:rsid w:val="00606F5D"/>
    <w:pPr>
      <w:widowControl/>
      <w:autoSpaceDE/>
      <w:autoSpaceDN/>
    </w:pPr>
    <w:rPr>
      <w:rFonts w:ascii="Segoe UI" w:eastAsiaTheme="minorHAnsi" w:hAnsi="Segoe UI" w:cs="Segoe UI"/>
      <w:sz w:val="18"/>
      <w:szCs w:val="18"/>
    </w:rPr>
  </w:style>
  <w:style w:type="character" w:customStyle="1" w:styleId="BalloonTextChar">
    <w:name w:val="Balloon Text Char"/>
    <w:basedOn w:val="DefaultParagraphFont"/>
    <w:link w:val="BalloonText1"/>
    <w:uiPriority w:val="99"/>
    <w:semiHidden/>
    <w:rsid w:val="00606F5D"/>
    <w:rPr>
      <w:rFonts w:ascii="Segoe UI" w:hAnsi="Segoe UI" w:cs="Segoe UI"/>
      <w:sz w:val="18"/>
      <w:szCs w:val="18"/>
    </w:rPr>
  </w:style>
  <w:style w:type="paragraph" w:customStyle="1" w:styleId="FootnoteText1">
    <w:name w:val="Footnote Text1"/>
    <w:basedOn w:val="Normal"/>
    <w:next w:val="FootnoteText"/>
    <w:link w:val="FootnoteTextChar"/>
    <w:uiPriority w:val="99"/>
    <w:semiHidden/>
    <w:unhideWhenUsed/>
    <w:rsid w:val="00606F5D"/>
    <w:pPr>
      <w:widowControl/>
      <w:autoSpaceDE/>
      <w:autoSpaceDN/>
    </w:pPr>
    <w:rPr>
      <w:rFonts w:asciiTheme="minorHAnsi" w:eastAsiaTheme="minorHAnsi" w:hAnsiTheme="minorHAnsi" w:cstheme="minorBidi"/>
      <w:sz w:val="20"/>
      <w:szCs w:val="20"/>
    </w:rPr>
  </w:style>
  <w:style w:type="character" w:customStyle="1" w:styleId="FootnoteTextChar">
    <w:name w:val="Footnote Text Char"/>
    <w:aliases w:val="single space Char1,FOOTNOTES Char1,fn Char1,Fußnotentext Char Char1,ADB Char1,Footnote text Char1,Footnote Text Char Char Char Char1,Footnote Text Char Char Char2,Footnote Text Char1 Char Char1,Footnote Text Char Char Char1 Char Char"/>
    <w:basedOn w:val="DefaultParagraphFont"/>
    <w:link w:val="FootnoteText1"/>
    <w:uiPriority w:val="99"/>
    <w:rsid w:val="00606F5D"/>
    <w:rPr>
      <w:sz w:val="20"/>
      <w:szCs w:val="20"/>
    </w:rPr>
  </w:style>
  <w:style w:type="character" w:styleId="FootnoteReference">
    <w:name w:val="footnote reference"/>
    <w:basedOn w:val="DefaultParagraphFont"/>
    <w:uiPriority w:val="99"/>
    <w:semiHidden/>
    <w:unhideWhenUsed/>
    <w:rsid w:val="00606F5D"/>
    <w:rPr>
      <w:vertAlign w:val="superscript"/>
    </w:rPr>
  </w:style>
  <w:style w:type="paragraph" w:customStyle="1" w:styleId="Revision1">
    <w:name w:val="Revision1"/>
    <w:next w:val="Revision"/>
    <w:hidden/>
    <w:uiPriority w:val="99"/>
    <w:semiHidden/>
    <w:rsid w:val="00606F5D"/>
    <w:pPr>
      <w:widowControl/>
      <w:autoSpaceDE/>
      <w:autoSpaceDN/>
    </w:pPr>
  </w:style>
  <w:style w:type="character" w:styleId="PageNumber">
    <w:name w:val="page number"/>
    <w:basedOn w:val="DefaultParagraphFont"/>
    <w:uiPriority w:val="99"/>
    <w:semiHidden/>
    <w:unhideWhenUsed/>
    <w:rsid w:val="00606F5D"/>
  </w:style>
  <w:style w:type="character" w:customStyle="1" w:styleId="fontstyle01">
    <w:name w:val="fontstyle01"/>
    <w:rsid w:val="00606F5D"/>
    <w:rPr>
      <w:rFonts w:ascii="TimesNewRomanPSMT" w:hAnsi="TimesNewRomanPSMT" w:hint="default"/>
      <w:b w:val="0"/>
      <w:bCs w:val="0"/>
      <w:i w:val="0"/>
      <w:iCs w:val="0"/>
      <w:color w:val="242021"/>
      <w:sz w:val="18"/>
      <w:szCs w:val="18"/>
    </w:rPr>
  </w:style>
  <w:style w:type="paragraph" w:customStyle="1" w:styleId="00Nabrajanja">
    <w:name w:val="00. Nabrajanja"/>
    <w:basedOn w:val="Normal"/>
    <w:link w:val="00NabrajanjaChar"/>
    <w:qFormat/>
    <w:rsid w:val="00606F5D"/>
    <w:pPr>
      <w:numPr>
        <w:numId w:val="3"/>
      </w:numPr>
      <w:autoSpaceDE/>
      <w:autoSpaceDN/>
      <w:spacing w:after="60"/>
      <w:ind w:left="567" w:hanging="425"/>
      <w:jc w:val="both"/>
    </w:pPr>
    <w:rPr>
      <w:sz w:val="24"/>
      <w:lang w:val="sr-Cyrl-RS"/>
    </w:rPr>
  </w:style>
  <w:style w:type="character" w:customStyle="1" w:styleId="00NabrajanjaChar">
    <w:name w:val="00. Nabrajanja Char"/>
    <w:link w:val="00Nabrajanja"/>
    <w:rsid w:val="00606F5D"/>
    <w:rPr>
      <w:rFonts w:ascii="Times New Roman" w:eastAsia="Times New Roman" w:hAnsi="Times New Roman" w:cs="Times New Roman"/>
      <w:sz w:val="24"/>
      <w:lang w:val="sr-Cyrl-RS"/>
    </w:rPr>
  </w:style>
  <w:style w:type="paragraph" w:customStyle="1" w:styleId="a0">
    <w:name w:val="СТУБОВИ"/>
    <w:basedOn w:val="Normal"/>
    <w:link w:val="Char"/>
    <w:qFormat/>
    <w:rsid w:val="00606F5D"/>
    <w:pPr>
      <w:widowControl/>
      <w:autoSpaceDE/>
      <w:autoSpaceDN/>
      <w:spacing w:before="120" w:after="120"/>
    </w:pPr>
    <w:rPr>
      <w:rFonts w:ascii="Arial" w:eastAsia="Calibri" w:hAnsi="Arial" w:cs="Arial"/>
      <w:b/>
      <w:sz w:val="24"/>
      <w:szCs w:val="24"/>
      <w:lang w:val="sr-Cyrl-RS"/>
    </w:rPr>
  </w:style>
  <w:style w:type="character" w:customStyle="1" w:styleId="Char">
    <w:name w:val="СТУБОВИ Char"/>
    <w:basedOn w:val="DefaultParagraphFont"/>
    <w:link w:val="a0"/>
    <w:rsid w:val="00606F5D"/>
    <w:rPr>
      <w:rFonts w:ascii="Arial" w:eastAsia="Calibri" w:hAnsi="Arial" w:cs="Arial"/>
      <w:b/>
      <w:sz w:val="24"/>
      <w:szCs w:val="24"/>
      <w:lang w:val="sr-Cyrl-RS"/>
    </w:rPr>
  </w:style>
  <w:style w:type="paragraph" w:customStyle="1" w:styleId="TOC11">
    <w:name w:val="TOC 11"/>
    <w:basedOn w:val="Normal"/>
    <w:next w:val="Normal"/>
    <w:autoRedefine/>
    <w:uiPriority w:val="39"/>
    <w:unhideWhenUsed/>
    <w:rsid w:val="00606F5D"/>
    <w:pPr>
      <w:widowControl/>
      <w:tabs>
        <w:tab w:val="right" w:leader="dot" w:pos="9017"/>
      </w:tabs>
      <w:autoSpaceDE/>
      <w:autoSpaceDN/>
      <w:spacing w:after="100" w:line="259" w:lineRule="auto"/>
      <w:jc w:val="both"/>
    </w:pPr>
    <w:rPr>
      <w:rFonts w:eastAsia="Calibri"/>
      <w:color w:val="4472C4"/>
      <w:sz w:val="24"/>
    </w:rPr>
  </w:style>
  <w:style w:type="paragraph" w:customStyle="1" w:styleId="a1">
    <w:name w:val="Мера"/>
    <w:basedOn w:val="Normal"/>
    <w:link w:val="Char0"/>
    <w:qFormat/>
    <w:rsid w:val="00606F5D"/>
    <w:pPr>
      <w:widowControl/>
      <w:autoSpaceDE/>
      <w:autoSpaceDN/>
    </w:pPr>
    <w:rPr>
      <w:rFonts w:ascii="Arial" w:eastAsia="Calibri" w:hAnsi="Arial" w:cs="Arial"/>
      <w:b/>
      <w:sz w:val="20"/>
      <w:szCs w:val="20"/>
      <w:lang w:val="sr-Cyrl-RS"/>
    </w:rPr>
  </w:style>
  <w:style w:type="character" w:customStyle="1" w:styleId="Char0">
    <w:name w:val="Мера Char"/>
    <w:basedOn w:val="DefaultParagraphFont"/>
    <w:link w:val="a1"/>
    <w:rsid w:val="00606F5D"/>
    <w:rPr>
      <w:rFonts w:ascii="Arial" w:eastAsia="Calibri" w:hAnsi="Arial" w:cs="Arial"/>
      <w:b/>
      <w:sz w:val="20"/>
      <w:szCs w:val="20"/>
      <w:lang w:val="sr-Cyrl-RS"/>
    </w:rPr>
  </w:style>
  <w:style w:type="paragraph" w:customStyle="1" w:styleId="TOC21">
    <w:name w:val="TOC 21"/>
    <w:basedOn w:val="Normal"/>
    <w:next w:val="Normal"/>
    <w:autoRedefine/>
    <w:uiPriority w:val="39"/>
    <w:unhideWhenUsed/>
    <w:rsid w:val="00606F5D"/>
    <w:pPr>
      <w:widowControl/>
      <w:autoSpaceDE/>
      <w:autoSpaceDN/>
      <w:spacing w:after="100" w:line="259" w:lineRule="auto"/>
      <w:ind w:left="220"/>
    </w:pPr>
    <w:rPr>
      <w:rFonts w:eastAsia="Calibri"/>
      <w:sz w:val="20"/>
    </w:rPr>
  </w:style>
  <w:style w:type="paragraph" w:styleId="CommentText">
    <w:name w:val="annotation text"/>
    <w:basedOn w:val="Normal"/>
    <w:link w:val="CommentTextChar1"/>
    <w:uiPriority w:val="99"/>
    <w:semiHidden/>
    <w:unhideWhenUsed/>
    <w:rsid w:val="00606F5D"/>
    <w:rPr>
      <w:sz w:val="20"/>
      <w:szCs w:val="20"/>
    </w:rPr>
  </w:style>
  <w:style w:type="character" w:customStyle="1" w:styleId="CommentTextChar1">
    <w:name w:val="Comment Text Char1"/>
    <w:basedOn w:val="DefaultParagraphFont"/>
    <w:link w:val="CommentText"/>
    <w:uiPriority w:val="99"/>
    <w:semiHidden/>
    <w:rsid w:val="00606F5D"/>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606F5D"/>
    <w:rPr>
      <w:rFonts w:asciiTheme="minorHAnsi" w:eastAsiaTheme="minorHAnsi" w:hAnsiTheme="minorHAnsi" w:cstheme="minorBidi"/>
    </w:rPr>
  </w:style>
  <w:style w:type="character" w:customStyle="1" w:styleId="CommentSubjectChar1">
    <w:name w:val="Comment Subject Char1"/>
    <w:basedOn w:val="CommentTextChar1"/>
    <w:uiPriority w:val="99"/>
    <w:semiHidden/>
    <w:rsid w:val="00606F5D"/>
    <w:rPr>
      <w:rFonts w:ascii="Times New Roman" w:eastAsia="Times New Roman" w:hAnsi="Times New Roman" w:cs="Times New Roman"/>
      <w:b/>
      <w:bCs/>
      <w:sz w:val="20"/>
      <w:szCs w:val="20"/>
    </w:rPr>
  </w:style>
  <w:style w:type="paragraph" w:styleId="BalloonText">
    <w:name w:val="Balloon Text"/>
    <w:basedOn w:val="Normal"/>
    <w:link w:val="BalloonTextChar1"/>
    <w:uiPriority w:val="99"/>
    <w:semiHidden/>
    <w:unhideWhenUsed/>
    <w:rsid w:val="00606F5D"/>
    <w:rPr>
      <w:rFonts w:ascii="Segoe UI" w:hAnsi="Segoe UI" w:cs="Segoe UI"/>
      <w:sz w:val="18"/>
      <w:szCs w:val="18"/>
    </w:rPr>
  </w:style>
  <w:style w:type="character" w:customStyle="1" w:styleId="BalloonTextChar1">
    <w:name w:val="Balloon Text Char1"/>
    <w:basedOn w:val="DefaultParagraphFont"/>
    <w:link w:val="BalloonText"/>
    <w:uiPriority w:val="99"/>
    <w:semiHidden/>
    <w:rsid w:val="00606F5D"/>
    <w:rPr>
      <w:rFonts w:ascii="Segoe UI" w:eastAsia="Times New Roman" w:hAnsi="Segoe UI" w:cs="Segoe UI"/>
      <w:sz w:val="18"/>
      <w:szCs w:val="18"/>
    </w:rPr>
  </w:style>
  <w:style w:type="paragraph" w:styleId="FootnoteText">
    <w:name w:val="footnote text"/>
    <w:aliases w:val="single space,FOOTNOTES,fn,Fußnotentext Char,ADB,Footnote text,Footnote Text Char Char Char,Footnote Text Char Char,Footnote Text Char1 Char,Footnote Text Char Char Char Char Char,Footnote Text Char Char Char1 Char,Char Char Char,Fußnote,f"/>
    <w:basedOn w:val="Normal"/>
    <w:link w:val="FootnoteTextChar1"/>
    <w:uiPriority w:val="99"/>
    <w:unhideWhenUsed/>
    <w:qFormat/>
    <w:rsid w:val="00606F5D"/>
    <w:rPr>
      <w:sz w:val="20"/>
      <w:szCs w:val="20"/>
    </w:rPr>
  </w:style>
  <w:style w:type="character" w:customStyle="1" w:styleId="FootnoteTextChar1">
    <w:name w:val="Footnote Text Char1"/>
    <w:aliases w:val="single space Char,FOOTNOTES Char,fn Char,Fußnotentext Char Char,ADB Char,Footnote text Char,Footnote Text Char Char Char Char,Footnote Text Char Char Char1,Footnote Text Char1 Char Char,Footnote Text Char Char Char Char Char Char"/>
    <w:basedOn w:val="DefaultParagraphFont"/>
    <w:link w:val="FootnoteText"/>
    <w:uiPriority w:val="99"/>
    <w:semiHidden/>
    <w:rsid w:val="00606F5D"/>
    <w:rPr>
      <w:rFonts w:ascii="Times New Roman" w:eastAsia="Times New Roman" w:hAnsi="Times New Roman" w:cs="Times New Roman"/>
      <w:sz w:val="20"/>
      <w:szCs w:val="20"/>
    </w:rPr>
  </w:style>
  <w:style w:type="paragraph" w:styleId="Revision">
    <w:name w:val="Revision"/>
    <w:hidden/>
    <w:uiPriority w:val="99"/>
    <w:semiHidden/>
    <w:rsid w:val="00606F5D"/>
    <w:pPr>
      <w:widowControl/>
      <w:autoSpaceDE/>
      <w:autoSpaceDN/>
    </w:pPr>
    <w:rPr>
      <w:rFonts w:ascii="Times New Roman" w:eastAsia="Times New Roman" w:hAnsi="Times New Roman" w:cs="Times New Roman"/>
    </w:rPr>
  </w:style>
  <w:style w:type="paragraph" w:styleId="TOC1">
    <w:name w:val="toc 1"/>
    <w:basedOn w:val="Normal"/>
    <w:next w:val="Normal"/>
    <w:uiPriority w:val="39"/>
    <w:rsid w:val="00606F5D"/>
    <w:pPr>
      <w:autoSpaceDE/>
      <w:autoSpaceDN/>
      <w:spacing w:before="240" w:after="120"/>
    </w:pPr>
    <w:rPr>
      <w:rFonts w:cs="Calibri"/>
      <w:bCs/>
      <w:szCs w:val="20"/>
      <w:lang w:val="sr-Cyrl-CS"/>
    </w:rPr>
  </w:style>
  <w:style w:type="paragraph" w:styleId="TOC2">
    <w:name w:val="toc 2"/>
    <w:basedOn w:val="Normal"/>
    <w:next w:val="Normal"/>
    <w:uiPriority w:val="39"/>
    <w:rsid w:val="00606F5D"/>
    <w:pPr>
      <w:autoSpaceDE/>
      <w:autoSpaceDN/>
      <w:spacing w:before="120" w:after="120"/>
      <w:ind w:left="220"/>
    </w:pPr>
    <w:rPr>
      <w:rFonts w:cs="Calibri"/>
      <w:i/>
      <w:iCs/>
      <w:sz w:val="20"/>
      <w:szCs w:val="20"/>
      <w:lang w:val="sr-Cyrl-CS"/>
    </w:rPr>
  </w:style>
  <w:style w:type="paragraph" w:styleId="TOC3">
    <w:name w:val="toc 3"/>
    <w:basedOn w:val="Normal"/>
    <w:next w:val="Normal"/>
    <w:uiPriority w:val="39"/>
    <w:rsid w:val="00606F5D"/>
    <w:pPr>
      <w:autoSpaceDE/>
      <w:autoSpaceDN/>
      <w:spacing w:before="120" w:after="120"/>
      <w:ind w:left="440"/>
    </w:pPr>
    <w:rPr>
      <w:rFonts w:ascii="Calibri" w:hAnsi="Calibri" w:cs="Calibri"/>
      <w:sz w:val="20"/>
      <w:szCs w:val="20"/>
      <w:lang w:val="sr-Cyrl-CS"/>
    </w:rPr>
  </w:style>
  <w:style w:type="character" w:styleId="Strong">
    <w:name w:val="Strong"/>
    <w:uiPriority w:val="22"/>
    <w:qFormat/>
    <w:rsid w:val="00606F5D"/>
    <w:rPr>
      <w:b/>
      <w:bCs/>
    </w:rPr>
  </w:style>
  <w:style w:type="paragraph" w:customStyle="1" w:styleId="a">
    <w:name w:val="Литература"/>
    <w:basedOn w:val="Normal"/>
    <w:link w:val="Char1"/>
    <w:qFormat/>
    <w:rsid w:val="00606F5D"/>
    <w:pPr>
      <w:widowControl/>
      <w:numPr>
        <w:numId w:val="4"/>
      </w:numPr>
      <w:autoSpaceDE/>
      <w:autoSpaceDN/>
      <w:jc w:val="both"/>
    </w:pPr>
    <w:rPr>
      <w:sz w:val="18"/>
      <w:szCs w:val="18"/>
    </w:rPr>
  </w:style>
  <w:style w:type="character" w:customStyle="1" w:styleId="Char1">
    <w:name w:val="Литература Char"/>
    <w:link w:val="a"/>
    <w:rsid w:val="00606F5D"/>
    <w:rPr>
      <w:rFonts w:ascii="Times New Roman" w:eastAsia="Times New Roman" w:hAnsi="Times New Roman" w:cs="Times New Roman"/>
      <w:sz w:val="18"/>
      <w:szCs w:val="18"/>
    </w:rPr>
  </w:style>
  <w:style w:type="character" w:customStyle="1" w:styleId="cf01">
    <w:name w:val="cf01"/>
    <w:basedOn w:val="DefaultParagraphFont"/>
    <w:rsid w:val="00606F5D"/>
    <w:rPr>
      <w:rFonts w:ascii="Segoe UI" w:hAnsi="Segoe UI" w:cs="Segoe UI" w:hint="default"/>
      <w:sz w:val="18"/>
      <w:szCs w:val="18"/>
    </w:rPr>
  </w:style>
  <w:style w:type="paragraph" w:customStyle="1" w:styleId="Prilozi">
    <w:name w:val="Prilozi"/>
    <w:basedOn w:val="Normal"/>
    <w:qFormat/>
    <w:rsid w:val="00606F5D"/>
    <w:pPr>
      <w:keepNext/>
      <w:autoSpaceDE/>
      <w:autoSpaceDN/>
      <w:spacing w:before="240" w:after="120"/>
      <w:jc w:val="both"/>
      <w:outlineLvl w:val="0"/>
    </w:pPr>
    <w:rPr>
      <w:rFonts w:cs="Arial"/>
      <w:b/>
      <w:bCs/>
      <w:caps/>
      <w:w w:val="80"/>
      <w:sz w:val="28"/>
      <w:szCs w:val="48"/>
      <w:lang w:val="sr-Cyrl-RS"/>
    </w:rPr>
  </w:style>
  <w:style w:type="paragraph" w:customStyle="1" w:styleId="Normal1">
    <w:name w:val="Normal1"/>
    <w:basedOn w:val="Normal"/>
    <w:rsid w:val="009A1F17"/>
    <w:pPr>
      <w:widowControl/>
      <w:autoSpaceDE/>
      <w:autoSpaceDN/>
      <w:spacing w:before="100" w:beforeAutospacing="1" w:after="100" w:afterAutospacing="1"/>
    </w:pPr>
    <w:rPr>
      <w:rFonts w:ascii="Arial" w:hAnsi="Arial" w:cs="Arial"/>
      <w:lang w:val="sr-Latn-RS" w:eastAsia="sr-Latn-CS"/>
    </w:rPr>
  </w:style>
  <w:style w:type="paragraph" w:customStyle="1" w:styleId="basic-paragraph">
    <w:name w:val="basic-paragraph"/>
    <w:basedOn w:val="Normal"/>
    <w:rsid w:val="00D23D60"/>
    <w:pPr>
      <w:widowControl/>
      <w:autoSpaceDE/>
      <w:autoSpaceDN/>
      <w:spacing w:before="100" w:beforeAutospacing="1" w:after="100" w:afterAutospacing="1"/>
    </w:pPr>
    <w:rPr>
      <w:sz w:val="24"/>
      <w:szCs w:val="24"/>
    </w:rPr>
  </w:style>
  <w:style w:type="character" w:customStyle="1" w:styleId="bold">
    <w:name w:val="bold"/>
    <w:basedOn w:val="DefaultParagraphFont"/>
    <w:rsid w:val="00D23D60"/>
  </w:style>
  <w:style w:type="paragraph" w:customStyle="1" w:styleId="bold1">
    <w:name w:val="bold1"/>
    <w:basedOn w:val="Normal"/>
    <w:rsid w:val="00D23D60"/>
    <w:pPr>
      <w:widowControl/>
      <w:autoSpaceDE/>
      <w:autoSpaceDN/>
      <w:spacing w:before="100" w:beforeAutospacing="1" w:after="100" w:afterAutospacing="1"/>
    </w:pPr>
    <w:rPr>
      <w:sz w:val="24"/>
      <w:szCs w:val="24"/>
    </w:rPr>
  </w:style>
  <w:style w:type="paragraph" w:customStyle="1" w:styleId="tabela">
    <w:name w:val="tabela"/>
    <w:basedOn w:val="Normal"/>
    <w:rsid w:val="00D23D60"/>
    <w:pPr>
      <w:widowControl/>
      <w:autoSpaceDE/>
      <w:autoSpaceDN/>
      <w:spacing w:before="100" w:beforeAutospacing="1" w:after="100" w:afterAutospacing="1"/>
    </w:pPr>
    <w:rPr>
      <w:sz w:val="24"/>
      <w:szCs w:val="24"/>
    </w:rPr>
  </w:style>
  <w:style w:type="character" w:customStyle="1" w:styleId="italik">
    <w:name w:val="italik"/>
    <w:basedOn w:val="DefaultParagraphFont"/>
    <w:rsid w:val="00D23D60"/>
  </w:style>
  <w:style w:type="character" w:customStyle="1" w:styleId="superscript">
    <w:name w:val="superscript"/>
    <w:basedOn w:val="DefaultParagraphFont"/>
    <w:rsid w:val="00D23D6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3460623">
      <w:bodyDiv w:val="1"/>
      <w:marLeft w:val="0"/>
      <w:marRight w:val="0"/>
      <w:marTop w:val="0"/>
      <w:marBottom w:val="0"/>
      <w:divBdr>
        <w:top w:val="none" w:sz="0" w:space="0" w:color="auto"/>
        <w:left w:val="none" w:sz="0" w:space="0" w:color="auto"/>
        <w:bottom w:val="none" w:sz="0" w:space="0" w:color="auto"/>
        <w:right w:val="none" w:sz="0" w:space="0" w:color="auto"/>
      </w:divBdr>
    </w:div>
    <w:div w:id="807745597">
      <w:bodyDiv w:val="1"/>
      <w:marLeft w:val="0"/>
      <w:marRight w:val="0"/>
      <w:marTop w:val="0"/>
      <w:marBottom w:val="0"/>
      <w:divBdr>
        <w:top w:val="none" w:sz="0" w:space="0" w:color="auto"/>
        <w:left w:val="none" w:sz="0" w:space="0" w:color="auto"/>
        <w:bottom w:val="none" w:sz="0" w:space="0" w:color="auto"/>
        <w:right w:val="none" w:sz="0" w:space="0" w:color="auto"/>
      </w:divBdr>
    </w:div>
    <w:div w:id="1051995961">
      <w:bodyDiv w:val="1"/>
      <w:marLeft w:val="0"/>
      <w:marRight w:val="0"/>
      <w:marTop w:val="0"/>
      <w:marBottom w:val="0"/>
      <w:divBdr>
        <w:top w:val="none" w:sz="0" w:space="0" w:color="auto"/>
        <w:left w:val="none" w:sz="0" w:space="0" w:color="auto"/>
        <w:bottom w:val="none" w:sz="0" w:space="0" w:color="auto"/>
        <w:right w:val="none" w:sz="0" w:space="0" w:color="auto"/>
      </w:divBdr>
    </w:div>
    <w:div w:id="1603105572">
      <w:bodyDiv w:val="1"/>
      <w:marLeft w:val="0"/>
      <w:marRight w:val="0"/>
      <w:marTop w:val="0"/>
      <w:marBottom w:val="0"/>
      <w:divBdr>
        <w:top w:val="none" w:sz="0" w:space="0" w:color="auto"/>
        <w:left w:val="none" w:sz="0" w:space="0" w:color="auto"/>
        <w:bottom w:val="none" w:sz="0" w:space="0" w:color="auto"/>
        <w:right w:val="none" w:sz="0" w:space="0" w:color="auto"/>
      </w:divBdr>
    </w:div>
    <w:div w:id="1603297468">
      <w:bodyDiv w:val="1"/>
      <w:marLeft w:val="0"/>
      <w:marRight w:val="0"/>
      <w:marTop w:val="0"/>
      <w:marBottom w:val="0"/>
      <w:divBdr>
        <w:top w:val="none" w:sz="0" w:space="0" w:color="auto"/>
        <w:left w:val="none" w:sz="0" w:space="0" w:color="auto"/>
        <w:bottom w:val="none" w:sz="0" w:space="0" w:color="auto"/>
        <w:right w:val="none" w:sz="0" w:space="0" w:color="auto"/>
      </w:divBdr>
    </w:div>
    <w:div w:id="201210137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30.png"/><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28" Type="http://schemas.openxmlformats.org/officeDocument/2006/relationships/image" Target="media/image120.png"/><Relationship Id="rId5" Type="http://schemas.openxmlformats.org/officeDocument/2006/relationships/settings" Target="setting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5.png"/><Relationship Id="rId118" Type="http://schemas.openxmlformats.org/officeDocument/2006/relationships/image" Target="media/image110.png"/><Relationship Id="rId134" Type="http://schemas.openxmlformats.org/officeDocument/2006/relationships/image" Target="media/image126.png"/><Relationship Id="rId139" Type="http://schemas.openxmlformats.org/officeDocument/2006/relationships/image" Target="media/image131.png"/><Relationship Id="rId80" Type="http://schemas.openxmlformats.org/officeDocument/2006/relationships/image" Target="media/image72.png"/><Relationship Id="rId85" Type="http://schemas.openxmlformats.org/officeDocument/2006/relationships/image" Target="media/image77.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6.png"/><Relationship Id="rId129" Type="http://schemas.openxmlformats.org/officeDocument/2006/relationships/image" Target="media/image121.png"/><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119" Type="http://schemas.openxmlformats.org/officeDocument/2006/relationships/image" Target="media/image111.png"/><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image" Target="media/image122.png"/><Relationship Id="rId135" Type="http://schemas.openxmlformats.org/officeDocument/2006/relationships/image" Target="media/image127.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png"/><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9.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4" Type="http://schemas.microsoft.com/office/2007/relationships/stylesWithEffects" Target="stylesWithEffects.xml"/><Relationship Id="rId9" Type="http://schemas.openxmlformats.org/officeDocument/2006/relationships/image" Target="media/image1.png"/><Relationship Id="rId26" Type="http://schemas.openxmlformats.org/officeDocument/2006/relationships/image" Target="media/image18.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6"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5E64D1-B26B-4934-AE87-7724469B50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175</Pages>
  <Words>32404</Words>
  <Characters>184705</Characters>
  <Application>Microsoft Office Word</Application>
  <DocSecurity>0</DocSecurity>
  <Lines>1539</Lines>
  <Paragraphs>433</Paragraphs>
  <ScaleCrop>false</ScaleCrop>
  <HeadingPairs>
    <vt:vector size="2" baseType="variant">
      <vt:variant>
        <vt:lpstr>Title</vt:lpstr>
      </vt:variant>
      <vt:variant>
        <vt:i4>1</vt:i4>
      </vt:variant>
    </vt:vector>
  </HeadingPairs>
  <TitlesOfParts>
    <vt:vector size="1" baseType="lpstr">
      <vt:lpstr/>
    </vt:vector>
  </TitlesOfParts>
  <Company>Paragraf</Company>
  <LinksUpToDate>false</LinksUpToDate>
  <CharactersWithSpaces>216676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Snezana Brindza</dc:creator>
  <cp:lastModifiedBy>Snezana Brindza</cp:lastModifiedBy>
  <cp:revision>11</cp:revision>
  <dcterms:created xsi:type="dcterms:W3CDTF">2024-02-06T08:08:00Z</dcterms:created>
  <dcterms:modified xsi:type="dcterms:W3CDTF">2024-02-06T08:34:00Z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2023-11-06T00:00:00Z</vt:filetime>
  </property>
  <property fmtid="{D5CDD505-2E9C-101B-9397-08002B2CF9AE}" pid="3" name="Creator">
    <vt:lpwstr>PDF-XChange Editor 5.5.308.2</vt:lpwstr>
  </property>
  <property fmtid="{D5CDD505-2E9C-101B-9397-08002B2CF9AE}" pid="4" name="LastSaved">
    <vt:filetime>2023-11-06T00:00:00Z</vt:filetime>
  </property>
  <property fmtid="{D5CDD505-2E9C-101B-9397-08002B2CF9AE}" pid="5" name="Producer">
    <vt:lpwstr>PDF-XChange PDF Core API (5.5.308.2)</vt:lpwstr>
  </property>
</Properties>
</file>