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481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53"/>
        <w:gridCol w:w="10021"/>
      </w:tblGrid>
      <w:tr w:rsidR="006704ED" w:rsidRPr="008455B7" w:rsidTr="006704ED">
        <w:trPr>
          <w:tblCellSpacing w:w="15" w:type="dxa"/>
        </w:trPr>
        <w:tc>
          <w:tcPr>
            <w:tcW w:w="456" w:type="pct"/>
            <w:shd w:val="clear" w:color="auto" w:fill="A41E1C"/>
            <w:vAlign w:val="center"/>
          </w:tcPr>
          <w:p w:rsidR="006704ED" w:rsidRPr="008455B7" w:rsidRDefault="006704ED" w:rsidP="00F279CE">
            <w:pPr>
              <w:pStyle w:val="NASLOVZLATO"/>
              <w:rPr>
                <w:sz w:val="20"/>
                <w:szCs w:val="20"/>
              </w:rPr>
            </w:pPr>
            <w:r>
              <w:rPr>
                <w:sz w:val="20"/>
                <w:szCs w:val="20"/>
              </w:rPr>
              <w:drawing>
                <wp:inline distT="0" distB="0" distL="0" distR="0">
                  <wp:extent cx="523875" cy="561975"/>
                  <wp:effectExtent l="0" t="0" r="9525" b="9525"/>
                  <wp:docPr id="43" name="Picture 43"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12" w:type="pct"/>
            <w:shd w:val="clear" w:color="auto" w:fill="A41E1C"/>
            <w:vAlign w:val="center"/>
            <w:hideMark/>
          </w:tcPr>
          <w:p w:rsidR="006704ED" w:rsidRPr="006704ED" w:rsidRDefault="006704ED" w:rsidP="006704ED">
            <w:pPr>
              <w:pStyle w:val="NASLOVBELO"/>
              <w:spacing w:line="360" w:lineRule="auto"/>
              <w:rPr>
                <w:color w:val="FFE599"/>
              </w:rPr>
            </w:pPr>
            <w:r w:rsidRPr="00497C37">
              <w:rPr>
                <w:color w:val="FFE599"/>
              </w:rPr>
              <w:t>ПРАВИЛНИК</w:t>
            </w:r>
          </w:p>
          <w:p w:rsidR="006704ED" w:rsidRDefault="00D5442D" w:rsidP="00D5442D">
            <w:pPr>
              <w:pStyle w:val="NASLOVBELO"/>
            </w:pPr>
            <w:r>
              <w:t>О ТЕХНИЧКИМ ПРАВИЛИМА ЗА СТАТУТАРНУ СЕРТИФИКАЦ</w:t>
            </w:r>
            <w:r>
              <w:t>ИЈУ БРОДОВА УНУТРАШЊЕ ПЛОВИДБЕ</w:t>
            </w:r>
          </w:p>
          <w:p w:rsidR="006704ED" w:rsidRPr="008B2FAA" w:rsidRDefault="00D5442D" w:rsidP="00F279CE">
            <w:pPr>
              <w:pStyle w:val="podnaslovpropisa"/>
              <w:rPr>
                <w:sz w:val="18"/>
                <w:szCs w:val="18"/>
              </w:rPr>
            </w:pPr>
            <w:r w:rsidRPr="00D5442D">
              <w:t>("Сл. гласник РС", бр. 76/2018, 80/2019 и 52/2023)</w:t>
            </w:r>
          </w:p>
        </w:tc>
      </w:tr>
    </w:tbl>
    <w:p w:rsidR="006704ED" w:rsidRDefault="006704ED">
      <w:pPr>
        <w:ind w:left="160"/>
        <w:rPr>
          <w:rFonts w:ascii="Times New Roman"/>
          <w:sz w:val="20"/>
        </w:rPr>
      </w:pP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ПРИЛОГ 1.</w:t>
      </w:r>
    </w:p>
    <w:p w:rsidR="000241D5" w:rsidRPr="000241D5" w:rsidRDefault="000241D5" w:rsidP="000241D5">
      <w:pPr>
        <w:widowControl/>
        <w:autoSpaceDE/>
        <w:autoSpaceDN/>
        <w:spacing w:before="330" w:after="120"/>
        <w:ind w:firstLine="480"/>
        <w:jc w:val="center"/>
        <w:rPr>
          <w:rFonts w:ascii="Arial" w:eastAsia="Times New Roman" w:hAnsi="Arial" w:cs="Arial"/>
          <w:sz w:val="20"/>
          <w:szCs w:val="20"/>
          <w:lang w:eastAsia="sr-Latn-RS"/>
        </w:rPr>
      </w:pPr>
      <w:r w:rsidRPr="000241D5">
        <w:rPr>
          <w:rFonts w:ascii="Arial" w:eastAsia="Times New Roman" w:hAnsi="Arial" w:cs="Arial"/>
          <w:sz w:val="20"/>
          <w:szCs w:val="20"/>
          <w:lang w:eastAsia="sr-Latn-RS"/>
        </w:rPr>
        <w:t>ЗОНЕ ПЛОВИДБЕ БРОДОВА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Овaj део Техничких правила садржи списак унутрашњих водних путева географски подељених на зоне 1, 2 и 3.</w:t>
      </w:r>
    </w:p>
    <w:p w:rsidR="000241D5" w:rsidRPr="000241D5" w:rsidRDefault="000241D5" w:rsidP="000241D5">
      <w:pPr>
        <w:widowControl/>
        <w:autoSpaceDE/>
        <w:autoSpaceDN/>
        <w:spacing w:before="330" w:after="120"/>
        <w:ind w:firstLine="480"/>
        <w:jc w:val="center"/>
        <w:rPr>
          <w:rFonts w:ascii="Arial" w:eastAsia="Times New Roman" w:hAnsi="Arial" w:cs="Arial"/>
          <w:sz w:val="20"/>
          <w:szCs w:val="20"/>
          <w:lang w:eastAsia="sr-Latn-RS"/>
        </w:rPr>
      </w:pPr>
      <w:r w:rsidRPr="000241D5">
        <w:rPr>
          <w:rFonts w:ascii="Arial" w:eastAsia="Times New Roman" w:hAnsi="Arial" w:cs="Arial"/>
          <w:sz w:val="20"/>
          <w:szCs w:val="20"/>
          <w:lang w:eastAsia="sr-Latn-RS"/>
        </w:rPr>
        <w:t>Зона 1</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РЕПУБЛИКА ФРАНЦУСКА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Низводно од попречне границе мора на ушћима Сене, Лоаре. Жиронде и Роне.</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САВЕЗНА РЕПУБЛИКА НЕМАЧКА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91"/>
        <w:gridCol w:w="10950"/>
      </w:tblGrid>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Ems:</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од линије која спаја некадашњи светионик Greetsiel и западни гат на улазу у луку Eemshaven према отвореном мору до географске ширине од 53°30` N и географске дужине 6°45` E односно благо према отвореном мору од подручја истовара за бродове за превоз сувог терета у Alte Ems●</w:t>
            </w:r>
          </w:p>
        </w:tc>
      </w:tr>
    </w:tbl>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Напомена: У случају бродова чија се матична лука налази у другој држави, треба узети у обзир члан 32. Уговора Ems-Dollart oд 8. априла 1960. (BGBl. 1963 II, стp. 602).</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РЕПУБЛИКА ПОЉСКА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Део залива Поморска јужно од линије која спаја NordPerd на острву Rugen и светионик Niechorze.</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Део залива Gdańska јужно од линије која спаја светионик Hel и бову на улазу у луку Baltijsk.</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КРАЉЕВИНА ШВЕДСКА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Jezero Vättern: омеђено на југу паралелом на географској ширини која пролази кроз навигациону ознаку Bastungsgrunden. </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Brofjorden </w:t>
      </w:r>
      <w:r>
        <w:rPr>
          <w:rFonts w:ascii="Arial" w:eastAsia="Times New Roman" w:hAnsi="Arial" w:cs="Arial"/>
          <w:sz w:val="20"/>
          <w:szCs w:val="20"/>
          <w:lang w:eastAsia="sr-Latn-RS"/>
        </w:rPr>
        <w:t>-</w:t>
      </w:r>
      <w:r w:rsidRPr="000241D5">
        <w:rPr>
          <w:rFonts w:ascii="Arial" w:eastAsia="Times New Roman" w:hAnsi="Arial" w:cs="Arial"/>
          <w:sz w:val="20"/>
          <w:szCs w:val="20"/>
          <w:lang w:eastAsia="sr-Latn-RS"/>
        </w:rPr>
        <w:t xml:space="preserve"> Donsö: Подручје омеђено копном или границом 2. или 3. зоне </w:t>
      </w:r>
      <w:bookmarkStart w:id="0" w:name="_GoBack"/>
      <w:bookmarkEnd w:id="0"/>
      <w:r w:rsidRPr="000241D5">
        <w:rPr>
          <w:rFonts w:ascii="Arial" w:eastAsia="Times New Roman" w:hAnsi="Arial" w:cs="Arial"/>
          <w:sz w:val="20"/>
          <w:szCs w:val="20"/>
          <w:lang w:eastAsia="sr-Latn-RS"/>
        </w:rPr>
        <w:t>и линијом која се протеже од најјужније тачке Grötöa преко најзападније тачке Gåsöa; најсеверније тачке Hermanöa; Hermanö huvuda; Vedholmena; Danholmena; средишта Mollöna; светла Räbbehuvuda; доњег светла Sankt Olova; најјугоисточније тачке Flatholmena; светла Åstola; светла Marstranda; светла Sälöa; нижег светла Kågholmena; светла Tynneskära; светла Buskärs Knötea; и горњег светла Rivöa дo светла Rivöa.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Sjeverni Öregrundsgrepen: Подручје између копна и Gräsöa, омеђено на северу паралелом на географској ширини преко светла Engelska grundet, а на југу линијом на географској дужини преко горњег навигацијског светла Öregrunda.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Söderarm </w:t>
      </w:r>
      <w:r>
        <w:rPr>
          <w:rFonts w:ascii="Arial" w:eastAsia="Times New Roman" w:hAnsi="Arial" w:cs="Arial"/>
          <w:sz w:val="20"/>
          <w:szCs w:val="20"/>
          <w:lang w:eastAsia="sr-Latn-RS"/>
        </w:rPr>
        <w:t>-</w:t>
      </w:r>
      <w:r w:rsidRPr="000241D5">
        <w:rPr>
          <w:rFonts w:ascii="Arial" w:eastAsia="Times New Roman" w:hAnsi="Arial" w:cs="Arial"/>
          <w:sz w:val="20"/>
          <w:szCs w:val="20"/>
          <w:lang w:eastAsia="sr-Latn-RS"/>
        </w:rPr>
        <w:t xml:space="preserve"> Sandhamn: Подручје омеђено границом 2. зоне и линијом која се протеже од навигацијског светла Tyvöa преко светла Söderarm; горњег навигацијског светла пилота луке Söderarm; и светла Prästkobbena до навигацијске ознаке Korsö.</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Jungfrufjärden: Подручје омеђено копном или границом 2. зоне и цртом која се протеже од најзападније тачке Nämdöa преко најзападније тачке Mörtö-Bunsö до навигацијске ознаке Ornöhuvud.</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Mysingen </w:t>
      </w:r>
      <w:r>
        <w:rPr>
          <w:rFonts w:ascii="Arial" w:eastAsia="Times New Roman" w:hAnsi="Arial" w:cs="Arial"/>
          <w:sz w:val="20"/>
          <w:szCs w:val="20"/>
          <w:lang w:eastAsia="sr-Latn-RS"/>
        </w:rPr>
        <w:t>-</w:t>
      </w:r>
      <w:r w:rsidRPr="000241D5">
        <w:rPr>
          <w:rFonts w:ascii="Arial" w:eastAsia="Times New Roman" w:hAnsi="Arial" w:cs="Arial"/>
          <w:sz w:val="20"/>
          <w:szCs w:val="20"/>
          <w:lang w:eastAsia="sr-Latn-RS"/>
        </w:rPr>
        <w:t xml:space="preserve"> Landsort: Подручје омеђено границом 2. зоне и линијом која се протеже од светла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Utöa преко најјужније тачке Nåttaröa; светла Måsknuv; и светла Vikstena до светла Landsorta.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Landsort </w:t>
      </w:r>
      <w:r>
        <w:rPr>
          <w:rFonts w:ascii="Arial" w:eastAsia="Times New Roman" w:hAnsi="Arial" w:cs="Arial"/>
          <w:sz w:val="20"/>
          <w:szCs w:val="20"/>
          <w:lang w:eastAsia="sr-Latn-RS"/>
        </w:rPr>
        <w:t>-</w:t>
      </w:r>
      <w:r w:rsidRPr="000241D5">
        <w:rPr>
          <w:rFonts w:ascii="Arial" w:eastAsia="Times New Roman" w:hAnsi="Arial" w:cs="Arial"/>
          <w:sz w:val="20"/>
          <w:szCs w:val="20"/>
          <w:lang w:eastAsia="sr-Latn-RS"/>
        </w:rPr>
        <w:t xml:space="preserve"> Arkö: Подручје омеђено копном или границом 2. или 3. зоне и линијом која се протеже од светла Landsorta преко најјужније тачке Enskära и светла Norre Kränkana дo Marö kupae.</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Залив Valdemarsviken и архипелаг Gryt: Подручје омеђено копном или границом 2. зоне и линијом која се протеже од навигацијске ознаке Gubbö kupa преко светла Häradsskära и светла Hägerökartena до најјужније тачке Kvädöa.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lastRenderedPageBreak/>
        <w:t xml:space="preserve">Северни део теснаца Kalmar </w:t>
      </w:r>
      <w:r>
        <w:rPr>
          <w:rFonts w:ascii="Arial" w:eastAsia="Times New Roman" w:hAnsi="Arial" w:cs="Arial"/>
          <w:sz w:val="20"/>
          <w:szCs w:val="20"/>
          <w:lang w:eastAsia="sr-Latn-RS"/>
        </w:rPr>
        <w:t>-</w:t>
      </w:r>
      <w:r w:rsidRPr="000241D5">
        <w:rPr>
          <w:rFonts w:ascii="Arial" w:eastAsia="Times New Roman" w:hAnsi="Arial" w:cs="Arial"/>
          <w:sz w:val="20"/>
          <w:szCs w:val="20"/>
          <w:lang w:eastAsia="sr-Latn-RS"/>
        </w:rPr>
        <w:t xml:space="preserve"> Västervik: Подручје омеђено копном или линијом која се протеже од Hallmare Skackela преко светла Aleskär; светла Idöa; светла Idö Stångskära; светла Strupö Ljungskära на позицији N 57 20,0 E016 48,0; и западне кардиналне плутаче Enerumsgrunda до најсеверније тачке Ölanda и даље северозападном обалом Ölanda, а на југу паралелом географске ширине N 56 51,00.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Јужни део теснаца Kalmar: Подручје између копна и Ölanda, омеђено на северу линијом која се протеже од тачке Dunö (на копну) до Beijerhamna нa Ölandu, а на југу паралелом географске ширине N 56 15,00.</w:t>
      </w:r>
    </w:p>
    <w:p w:rsidR="000241D5" w:rsidRPr="000241D5" w:rsidRDefault="000241D5" w:rsidP="000241D5">
      <w:pPr>
        <w:widowControl/>
        <w:autoSpaceDE/>
        <w:autoSpaceDN/>
        <w:spacing w:before="330" w:after="120"/>
        <w:ind w:firstLine="480"/>
        <w:jc w:val="center"/>
        <w:rPr>
          <w:rFonts w:ascii="Arial" w:eastAsia="Times New Roman" w:hAnsi="Arial" w:cs="Arial"/>
          <w:sz w:val="20"/>
          <w:szCs w:val="20"/>
          <w:lang w:eastAsia="sr-Latn-RS"/>
        </w:rPr>
      </w:pPr>
      <w:r w:rsidRPr="000241D5">
        <w:rPr>
          <w:rFonts w:ascii="Arial" w:eastAsia="Times New Roman" w:hAnsi="Arial" w:cs="Arial"/>
          <w:sz w:val="20"/>
          <w:szCs w:val="20"/>
          <w:lang w:eastAsia="sr-Latn-RS"/>
        </w:rPr>
        <w:t>Зона 2</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РЕПУБЛИКА ЧЕШКА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Вештачко језеро Липно</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САВЕЗНА РЕПУБЛИКА НЕМАЧКА </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26"/>
        <w:gridCol w:w="6915"/>
      </w:tblGrid>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Ems</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од линије која се пружа преко Ems-a близу улаза у луку Papenburg између накадашње црпне станице Diemen и отвора насипа код Halkeа до линије која спаја некадашњи светионик Greetsiel и западни гат на улазу у луку Eemshaven. </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Jade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унутар линије која спаја накадашње светло Schilliga и црквени торањ у Langwardenu </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Weser</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од северозападне ивице железничког моста у Бремену до линије која спаја црквене торњеве у Langwardenu и Cappelu, укључујући рукавце Westergate, Rekumer Loch, Rechter Nebenarm и Schweiburg</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Laba с Bütztfletherom Süderelbe (oд km 0,69 дo ушћа у Labu), Ruthenstrom (oд km 3,75 дo ушћа у Labu), Wischhafener Süderelbe (oд km 8,03 дo ушћа у Labu)</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од доње границе луке Хамбург до линије која спаја навигациону ознаку Döse и западни обод насипа Friedrichskoog (Dieksand), укључујући Nebenelbe и притоке Este, Lühe, Schwinge, Oste, Pinnau, Krückau и Stör (у сваком случају од ушћа до бране)</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Meldorfer Bucht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унутар линије која спаја западни обод насипа Friedrichskoog (Dieksand) и главу западног гата у Büsumu</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Eider</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од ушћа канала Gieselau (km 22,64) до линије од средишта тврђаве (Tränke) до црквеног торња у Vollerwieku</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Kaнал Gieslau</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од ушћа у Eider до ушћа у канал Nord-Ostsee</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Flensburger Förde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унутар линије која спаја светионик Kegnäs и Birknack и северно до немачко-данске границе у Flensburger Fördeu</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Schlei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унутар линије између глава гатова у Schleimündeu</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Eckernförder Bucht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унутар линије која спаја Boknis-Eck и североисточни рт копна близу Dänisch Nienhofa</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Kieler Förde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унутар линије која спаја светионик Bülk и споменик поморцима у Laboeu</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Канал Nord-Ostsee, укључујући Audorfer See и Schirnauer See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од линије која спаја главе гата у Brunsbüttelu до линије која спаја улазна светла у Kiel-Holtenau, укључујући Obereidersee и Enge, Audorfer See, Borgstedter See и Enge, Schirnauer See, Flemhuder See и канал Achterwehrer </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Trave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од северозападне ивице покретног железничког моста у Lübecku, укључујући Pötenitzer Wiek и Dassower See до линије која спаја јужну унутрашњу и северну спољну главу гата у Travemündeu</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Leda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од улаза у препристаниште преводнице Leer до ушћа у Eems</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Hunte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од луке Oldenburg и 140 m низводно од Amalienbrückea у Oldenburgu до ушћа у Weser</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Lesum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од ушћа Hammea и Wümmea (km 0,00) до ушћа у Weser</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Estе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од мирног тока реке код преводнице Buxtehude (km 0,25) до ушћа у Labu</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Lühe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од мирног тока реке код Au-Mühle у Horneburgu (km 0,00) до ушћа у Labu</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Schwinge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од северне ивице преводницe Salztor у Stadeu до ушћа у Labu</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Oste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oд 210 m изнад средње линије друмског моста преко бране brane Oste (km 69,360) до ушћа у Labu</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Pinnau</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од југозападне ивице железничког моста у Pinnebergu до ушћа у Labu</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Krückau</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од југозападне ивице моста који води према Wedenkampu у Elmshornu до ушћа у Labu</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Stör</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од мареографа Rensing до ушћа у Labu</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Freiburger Hafenpriel</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од источне ивице уставе у Frajburgu на Elbi до ушћа у Labu</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Wismarbucht, Kirchsee, Breitling, Salzhaff и лучко подручје Wismar</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у смеру отвореног мора до линије која се пружа од Hoher Wieschendorf Huka до светла Timmendorfa и линије која спаја светло Gollwitza на острву Poel и јужни рт полуострва Wustrow</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Warnow, укључујући Breitling и рукавце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низводно од Mühlendamma од северне ивице Geinitzbrückea у Rostocku према мору до линије која спаја северне тачке западног и источног гата у Warnemündeu </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Воде окружене копном, полуострва Darß и Zingst и oстрва Hiddensee и Rügen (укључујући лучко подручје Stralsund)</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у смеру отвореног мора између полуострва Zingst и острва Bock: до географске ширине 54° 26’ 42</w:t>
            </w:r>
            <w:r>
              <w:rPr>
                <w:rFonts w:ascii="Arial" w:eastAsia="Times New Roman" w:hAnsi="Arial" w:cs="Arial"/>
                <w:sz w:val="20"/>
                <w:szCs w:val="20"/>
                <w:lang w:eastAsia="sr-Latn-RS"/>
              </w:rPr>
              <w:t>"</w:t>
            </w:r>
            <w:r w:rsidRPr="000241D5">
              <w:rPr>
                <w:rFonts w:ascii="Arial" w:eastAsia="Times New Roman" w:hAnsi="Arial" w:cs="Arial"/>
                <w:sz w:val="20"/>
                <w:szCs w:val="20"/>
                <w:lang w:eastAsia="sr-Latn-RS"/>
              </w:rPr>
              <w:t xml:space="preserve"> N,</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острва Bock и Hiddensee: до линије која спаја северни рт острва Bock и јужни рт острва Hiddensee</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острва Hiddensee и острва Rügen (Bug): до линије која спаја југоисточни рт Neubessin и Buger Haken</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Kleine Jasmunder Bodden</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Greifswalder Bodden</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од Boddena према отвореном мору до линије која се пружа од источне тачке Thiessower Hakenа (Südperd) дo источног рта острва Ruden и даље до северног рта острва Usedom (54° 10’ 37</w:t>
            </w:r>
            <w:r>
              <w:rPr>
                <w:rFonts w:ascii="Arial" w:eastAsia="Times New Roman" w:hAnsi="Arial" w:cs="Arial"/>
                <w:sz w:val="20"/>
                <w:szCs w:val="20"/>
                <w:lang w:eastAsia="sr-Latn-RS"/>
              </w:rPr>
              <w:t>"</w:t>
            </w:r>
            <w:r w:rsidRPr="000241D5">
              <w:rPr>
                <w:rFonts w:ascii="Arial" w:eastAsia="Times New Roman" w:hAnsi="Arial" w:cs="Arial"/>
                <w:sz w:val="20"/>
                <w:szCs w:val="20"/>
                <w:lang w:eastAsia="sr-Latn-RS"/>
              </w:rPr>
              <w:t xml:space="preserve"> N, 13° 47’ 51</w:t>
            </w:r>
            <w:r>
              <w:rPr>
                <w:rFonts w:ascii="Arial" w:eastAsia="Times New Roman" w:hAnsi="Arial" w:cs="Arial"/>
                <w:sz w:val="20"/>
                <w:szCs w:val="20"/>
                <w:lang w:eastAsia="sr-Latn-RS"/>
              </w:rPr>
              <w:t>"</w:t>
            </w:r>
            <w:r w:rsidRPr="000241D5">
              <w:rPr>
                <w:rFonts w:ascii="Arial" w:eastAsia="Times New Roman" w:hAnsi="Arial" w:cs="Arial"/>
                <w:sz w:val="20"/>
                <w:szCs w:val="20"/>
                <w:lang w:eastAsia="sr-Latn-RS"/>
              </w:rPr>
              <w:t xml:space="preserve"> E)</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Ryck</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источно од моста Steinbecker у Greifswaldu до линије која повезује главе гатова</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Воде окружене копном и острвом Usedom (Peenestrom, укључујући лучко подручје Wolgast и Achterwasser и Oder Haff)</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према истоку до границе са Републиком Пољском у Stettiner Haffu</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Uecker</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од југозападне ивице друмског моста у Uekermündeu дo линије која повезује главе гатова</w:t>
            </w:r>
          </w:p>
        </w:tc>
      </w:tr>
    </w:tbl>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Напомена: У случају бродова чија се матична лука налази у другој држави, треба узети у обзир члан 32. Уговора Ems-Dollart oд 8. априла 1960. (BGBl. 1963 II, стp. 602).</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РЕПУБЛИКА ФРАНЦУСКА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Жиронда од километарске ознаке (КР 48,50) до низводног дела тачке Ile de Patirasa до попречне границе мора одређене линијом која спаја Pointe de Grave и Pointe de Suzac;</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Лоара oд Cordemaisa од километарске ознаке (КР 25) до попречне границе мора одређене линијом која повезује Pointe de Mindin и Pointe de Penhoët;</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Сена oд почетка канала Tancarville дo попречне границе мора одређене линијом од Cape Hodea нa десној обали до тачке на левој обали где се спајају планирани насип и обала испод Bervillea;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Vilaina од бране Arzal дo попречне границе мора одређене линијом која повезује Pointe du Scal и Pointe du Moustoir;</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Женевско језеро.</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РЕПУБЛИКА МАЂАРСКА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Језеро Balaton</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КРАЉЕВИНА ХОЛАНДИЈA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Dollard</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Eems</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Waddenzee: укључујући везе са Северним морем</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IJsselmeer: укључујући Markermeer и IJmeer, осим Gouwzee</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Nieuwe Waterweg и Scheur</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Канал Calland западно од луке Benelux</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Hollands Diep</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Breeddiep, Beerkanaal и повезане луке</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Haringvliet и Vuile Gat: укључујући водне путеве између Goeree-Overflakkee с једне стране и Voorne-Putten и Hoeksche Waard с друге стране</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Hellegat</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Volkerak</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Krammer</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Grevelingenmeer и Brouwerschavensche Gat: укључујући све водне путеве између Schouwen-Duiveland и Goeree-Overflakkee</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Keten, Mastgat, Zijpe, Krabbenkreek, Eastern Scheldt и Roompot: укључујући водне путеве између Walcheren, Noord-Beveland и Zuid-Beveland с једне стране и Schouwen-Duiveland и Tholen с друге стране, изузев канала Scheldt-Рајна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Scheldt и Западни Scheldt и њено ушће у море: укључујући водне путеве између Zeeland Flanders, с једне стране и Walcheren и Zuid-Beveland, са друге стране, осим канала Scheldt-Rhine</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РЕПУБЛИКА ПОЉСКА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Лагуна Szczecin</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Лагуна Kamień</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Лагуна Wisła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Залив Puck</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Акумулационо језеро Włocławski</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Језеро Śniardwy</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Језеро Niegocin</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Језеро Mamry</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КРАЉЕВИНА ШВЕДСКА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Lysekil </w:t>
      </w:r>
      <w:r>
        <w:rPr>
          <w:rFonts w:ascii="Arial" w:eastAsia="Times New Roman" w:hAnsi="Arial" w:cs="Arial"/>
          <w:sz w:val="20"/>
          <w:szCs w:val="20"/>
          <w:lang w:eastAsia="sr-Latn-RS"/>
        </w:rPr>
        <w:t>-</w:t>
      </w:r>
      <w:r w:rsidRPr="000241D5">
        <w:rPr>
          <w:rFonts w:ascii="Arial" w:eastAsia="Times New Roman" w:hAnsi="Arial" w:cs="Arial"/>
          <w:sz w:val="20"/>
          <w:szCs w:val="20"/>
          <w:lang w:eastAsia="sr-Latn-RS"/>
        </w:rPr>
        <w:t xml:space="preserve"> Orust </w:t>
      </w:r>
      <w:r>
        <w:rPr>
          <w:rFonts w:ascii="Arial" w:eastAsia="Times New Roman" w:hAnsi="Arial" w:cs="Arial"/>
          <w:sz w:val="20"/>
          <w:szCs w:val="20"/>
          <w:lang w:eastAsia="sr-Latn-RS"/>
        </w:rPr>
        <w:t>-</w:t>
      </w:r>
      <w:r w:rsidRPr="000241D5">
        <w:rPr>
          <w:rFonts w:ascii="Arial" w:eastAsia="Times New Roman" w:hAnsi="Arial" w:cs="Arial"/>
          <w:sz w:val="20"/>
          <w:szCs w:val="20"/>
          <w:lang w:eastAsia="sr-Latn-RS"/>
        </w:rPr>
        <w:t xml:space="preserve"> Tjörn: Подручје омеђено копном и линијом која се протеже од Slaggöna у Lysekilu до Skaftölandeta на смеру (азимуту) 170 степени; линијом која се протеже од светла Islandsberga дo Lavösunda; линијом која се протеже од светла Lyra на смеру (азимуту) 300 степени до копна источно од Mollösunda; линијом која се протеже од најјужније тачке Lyra дo Björholmena; и у северном делу Hakefjordena паралелом географске ширине N 58 01,00.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Јужни архипелаг Göteborga: Подручје омеђено копном или границом 3. зоне и линијом која се протеже од западног дела луке Arendal преко Knippelholmena; светла Rivö и горњег светла Rivö; навигационе ознаке Känsö torn; светла Kårholmena; и светла Rättarensa до Askims nabbe.</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Öregrund </w:t>
      </w:r>
      <w:r>
        <w:rPr>
          <w:rFonts w:ascii="Arial" w:eastAsia="Times New Roman" w:hAnsi="Arial" w:cs="Arial"/>
          <w:sz w:val="20"/>
          <w:szCs w:val="20"/>
          <w:lang w:eastAsia="sr-Latn-RS"/>
        </w:rPr>
        <w:t>-</w:t>
      </w:r>
      <w:r w:rsidRPr="000241D5">
        <w:rPr>
          <w:rFonts w:ascii="Arial" w:eastAsia="Times New Roman" w:hAnsi="Arial" w:cs="Arial"/>
          <w:sz w:val="20"/>
          <w:szCs w:val="20"/>
          <w:lang w:eastAsia="sr-Latn-RS"/>
        </w:rPr>
        <w:t xml:space="preserve"> Norrtälje: Подручје између копна и Gräsöa, омеђено на северу линијом на географској дужини преко горњег навигационог светла Öregrunda те према мору омеђено линијом од Äspskäreta до светла Råstensudde; линијом преко Singsundeta; мостовима преко Fygdströmmena; линијом која се протеже од Dejeuddena преко светла Arholma до светла Tyvöa.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Norrtälje </w:t>
      </w:r>
      <w:r>
        <w:rPr>
          <w:rFonts w:ascii="Arial" w:eastAsia="Times New Roman" w:hAnsi="Arial" w:cs="Arial"/>
          <w:sz w:val="20"/>
          <w:szCs w:val="20"/>
          <w:lang w:eastAsia="sr-Latn-RS"/>
        </w:rPr>
        <w:t>-</w:t>
      </w:r>
      <w:r w:rsidRPr="000241D5">
        <w:rPr>
          <w:rFonts w:ascii="Arial" w:eastAsia="Times New Roman" w:hAnsi="Arial" w:cs="Arial"/>
          <w:sz w:val="20"/>
          <w:szCs w:val="20"/>
          <w:lang w:eastAsia="sr-Latn-RS"/>
        </w:rPr>
        <w:t xml:space="preserve"> Nämdö: Подручје омеђено копном или границама 2. или 3. зоне те линијом која се протеже од светла Tyvöa преко светла Idskärskobbena; најзападније тачке Svartlögae; светла Stenkobbsgrunda и навигационе ознаке Korsö; и најзападније тачке Nämdöa до најјужније тачке Björnöa.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Dalarö </w:t>
      </w:r>
      <w:r>
        <w:rPr>
          <w:rFonts w:ascii="Arial" w:eastAsia="Times New Roman" w:hAnsi="Arial" w:cs="Arial"/>
          <w:sz w:val="20"/>
          <w:szCs w:val="20"/>
          <w:lang w:eastAsia="sr-Latn-RS"/>
        </w:rPr>
        <w:t>-</w:t>
      </w:r>
      <w:r w:rsidRPr="000241D5">
        <w:rPr>
          <w:rFonts w:ascii="Arial" w:eastAsia="Times New Roman" w:hAnsi="Arial" w:cs="Arial"/>
          <w:sz w:val="20"/>
          <w:szCs w:val="20"/>
          <w:lang w:eastAsia="sr-Latn-RS"/>
        </w:rPr>
        <w:t xml:space="preserve"> Torö: Подручје омеђено копном и линијом која се протеже од Klacknäseta до навигацијске ознаке Ornöhuvud; Näseta код Ornöa; најсеверније тачке Utöa; светла Utöa; светла Älvsnabbena; Norra Stegholmena; Yttre Gårdena; Valsuddena нa Järflottau; и Långsuddena нa Järflottau до најисточније тачке Toröa.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Torö </w:t>
      </w:r>
      <w:r>
        <w:rPr>
          <w:rFonts w:ascii="Arial" w:eastAsia="Times New Roman" w:hAnsi="Arial" w:cs="Arial"/>
          <w:sz w:val="20"/>
          <w:szCs w:val="20"/>
          <w:lang w:eastAsia="sr-Latn-RS"/>
        </w:rPr>
        <w:t>-</w:t>
      </w:r>
      <w:r w:rsidRPr="000241D5">
        <w:rPr>
          <w:rFonts w:ascii="Arial" w:eastAsia="Times New Roman" w:hAnsi="Arial" w:cs="Arial"/>
          <w:sz w:val="20"/>
          <w:szCs w:val="20"/>
          <w:lang w:eastAsia="sr-Latn-RS"/>
        </w:rPr>
        <w:t xml:space="preserve"> Oxelösund: Подручје омеђено копном или границом 3. зоне те линијом која се протеже од цркве у Toröu преко светла Fifånga; светла Kockehällana; Lacka torna; најисточније тачке Kittelöa; светла Trutbådana и светла Betena; и навигацијске ознаке Femörehuvud дo Svartuddena северно од горњег светла Kungshamna.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Bråviken, Slätbaken и архипелаг Östergötland: Подручје омеђено копном (у западном Bråvikenu од моста Hamnbron у Norrköpingu; у западном Slätbakenu од преводнице Mem) и линијом која се протеже од светла Gullängsbergeta преко навигацијске ознаке Arkö; Marö kupae; навигацијске ознаке Kupa klint; најзападније тачке Birkskära; и навигацијске ознаке Gubbö Kupa дo Dalauddea јужно од Orrena.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Средишњи део теснаца Kalmar: Подручје омеђено на западу копном, на истоку Ölandom, на северу паралелом на географској ширини N 56 51;00, а на југу линијом која се протеже од рта Dunöa (копно) до Beijerhamna нa Ölandu.</w:t>
      </w:r>
    </w:p>
    <w:p w:rsidR="000241D5" w:rsidRPr="000241D5" w:rsidRDefault="000241D5" w:rsidP="000241D5">
      <w:pPr>
        <w:widowControl/>
        <w:autoSpaceDE/>
        <w:autoSpaceDN/>
        <w:spacing w:before="330" w:after="120"/>
        <w:ind w:firstLine="480"/>
        <w:jc w:val="center"/>
        <w:rPr>
          <w:rFonts w:ascii="Arial" w:eastAsia="Times New Roman" w:hAnsi="Arial" w:cs="Arial"/>
          <w:sz w:val="20"/>
          <w:szCs w:val="20"/>
          <w:lang w:eastAsia="sr-Latn-RS"/>
        </w:rPr>
      </w:pPr>
      <w:r w:rsidRPr="000241D5">
        <w:rPr>
          <w:rFonts w:ascii="Arial" w:eastAsia="Times New Roman" w:hAnsi="Arial" w:cs="Arial"/>
          <w:sz w:val="20"/>
          <w:szCs w:val="20"/>
          <w:lang w:eastAsia="sr-Latn-RS"/>
        </w:rPr>
        <w:t>Зона 3</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КРАЉЕВИНА БЕЛГИЈА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Mорски Scheldt (низводно од отвореног сидришта у Antwerpеnu)</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РЕПУБЛИКА БУГАРСКА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Дунав: од rkm 845,650 до rkm 374,100 </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РЕПУБЛИКА ЧЕШКА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Вештачка језера: Brněnská (Kníničky), Jesenice, Nechranice, Orlík, Rozkoš, Slapy, Těrlicko, Žermanice и Nové Mlýny III</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Језера настала вађењем шљунка: Ostrožná Nová Ves и Tovačov</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САВЕЗНА РЕПУБЛИКА НЕМАЧКА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655"/>
        <w:gridCol w:w="4886"/>
      </w:tblGrid>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Дунав: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oд Kelheimа (km 2414.72) дo немачко-аустријске границе код Jochensteina</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Rajna с Lampertheimer Altrheinom (oд km 4,75 дo Rijna), Altrhein Stockstadt-Erfelden (oд km 9,80 дo Rijna)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oд немачко-швајцарске границе дo немачко-холандске границе</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Laba (Norderelbe), укључујући Süderelbe en Köhlbrand Laba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oд ушћа канала Laba-Seiten до доње границе луке Хамбург</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r w:rsidRPr="000241D5">
              <w:rPr>
                <w:rFonts w:ascii="Arial" w:eastAsia="Times New Roman" w:hAnsi="Arial" w:cs="Arial"/>
                <w:sz w:val="20"/>
                <w:szCs w:val="20"/>
                <w:lang w:eastAsia="sr-Latn-RS"/>
              </w:rPr>
              <w:t>Müritz</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eastAsia="sr-Latn-RS"/>
              </w:rPr>
            </w:pPr>
          </w:p>
        </w:tc>
      </w:tr>
    </w:tbl>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РЕПУБЛИКА ФРАНЦУСКА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Adour oд Bec du Gavea до мора;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Aulne oд преводнице у Châteaulinu до попречне границе мора омеђеног Passage de Rosnoënom;</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Blavet oд Pontivyja дo Pont du Bonhommea;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Kaнал Calais;</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Charente oд моста на Tonnay-Charenteu до попречне границе мора омеђеног линијом која пролази средиштем низводног светла на левој обали и средиштем Fort de la Pointea;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Dordogne од стецишта са Lidoireom дo Bec d'Ambèsa;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Garonne oд моста у Castet en Dortheu дo Bec d'Ambèsa;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Gironde od Bec d'Ambèsa дo попречне линије на ознаци километра 48,50 и преко низводне тачке Ile de Patirasa;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Hérault oд луке Bessan до мора, до горње границе плиминог обалног подручја;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Isle oд стецишта са Dronneom дo стецишта са Dordogneom;</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Loara од стецишта са Maineom дo Cordemaisa (ознака километра 25);</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Marne oд моста у Bonneuilu (ознака километра 169 bis 900) и преводнице у St Mauru дo стецишта са Senom;</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Rajna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Nive oд бране Haïtze у Ustaritzu дo стецишта са Adourom;</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Oise oд преводнице Janville до стецишта са Senom;</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Orb oд Sérignana до мора, до горње границе плиминог обалног подручја;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Rhône oд границе са Швајцарском до мора, осим Petit Rhônea;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Saône oд моста Pont de Bourgogne у Chalon-sur-Saôneu до стецишта са Rhôneom;</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Sena oд преводнице у Nogent-sur-Seineu до почетка канала Tancarville;</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Sèvre Niortaise oд преводнице у Maransu на попречној граници мора насупрот стражарнице до ушћа;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Somme низводно од моста Pont de la Portelette у Abbevilleu до вијадукта железничке пруге која повезује Noyelles и Saint-Valéry-sur-Somme;</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Vilaine oд Redona (ознака километра 89,345) до бране Arzal;</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Jeзеро Amance;</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Jeзеро Annecy;</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Jeзеро Biscarosse;</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Jeзеро Bourget;</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Jeзеро Carcans;</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Jeзеро Cazaux;</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Jeзеро Der-Chantecoq;</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Jeзеро Guerlédan;</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Jeзеро Hourtin;</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Jeзеро Lacanau;</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Jeзеро Orient;</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Jeзеро Pareloup;</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Jeзеро Parentis;</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Jeзеро Sanguinet;</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Jeзеро Serre-Ponçon;</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Jeзеро Temple.</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РЕПУБЛИКА ХРВАТСКА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Дунав: од rkm 1295 + 500 дo rkm 1433 +100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Река Драва: од rkm 0 дo rkm 198 + 600 </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Сава: од rkm 210+800 дo rkm 594 +000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Река Купа: од rkm 0 дo rkm 5 + 900 </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Уна: од rkm 0 дo rkm 15</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РЕПУБЛИКА МАЂАРСКА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Дунав: oд rkm 1812 дo rkm 1433</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Дунав Moson: oд rkm 14 дo rkm 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Дунав Szentendre: oд rkm 32 дo rkm 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Дунав Ráckeve: oд rkm 58 дo rkm 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Tиса: oд rkm 685 дo rkm 160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Драва: oд rkm 198 дo rkm 70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Бодрог: oд rkm 51 дo rkm 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Kettős-Körös: oд rkm 23 дo rkm 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Hármas-Körös: oд rkm 91 дo rkm 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Канал Sió: oд rkm 23 дo rkm 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Језеро Velence</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Језеро Fertő</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КРАЉЕВИНА ХОЛАНДИЈА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Рајнa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Sneekermeer, Koevordermeer, Heegermeer, Fluessen, Slotermeer, Tjeukemeer, Beulakkerwijde, Belterwijde, Ramsdiep, Ketelmeer, Zwartemeer, Veluwemeer, Eemmeer, Alkmaardermeer, Gouwzee, Buiten IJ, Аfgesloten IJ, Noordzeekanaal, лука IJmuiden, лучко подручје Rotterdam, Nieuwe Maas, Noord, Oude Maas, Beneden Merwede, Nieuwe Merwede, Dordsche Kil, Boven Merwede, Waal, канал Bijlandsch, Boven Rijn, канал Pannersdensch, Geldersche Iјsel, Neder Rijn, Lek, канал Amsterdam-Rhine, Veerse Meer, канал Schelde-Rhine до ушћа у Volkerak, Amer, Bergsche Maas, Meuse низводно од Venloа, Gooimeer, Europort, Calandkanaal (источно од луке Benelux), Hartelkanaal</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РЕПУБЛИКА АУСТРИЈА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Дунав: oд границе са Немачком до границе са Словачком</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Inn: од ушћа дo електране Passau-Ingling</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Traun: од ушћа дo km 1,80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Enns: од ушћа дo km 2,70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Морава: дo km 6,00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РЕПУБЛИКА ПОЉСКА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Biebrza од ушћа канала Augustowski до ушћа реке Narwia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Brda од спајања са каналом Bydgoski у Bydgoszczu дo ушћа реке Висле</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Bug од ушћа реке Muchawiec дo ушћа реке Narwia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Jeзеро Dąbie дo границе са унутрашњим морским водама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Канал Augustowski од спајања са реком Biebrza дo државне границе, заједно са језерима која се налазе дуж тог канала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Канал Bartnicki oд језера Ruda Woda дo jeзерa Bartężek, заједно са језером Bartężek</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Канал Bydgoski </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Канал Elbląski oд jeзера Druzno до језера Jeziorak и језера Szeląg Wielki, заједно с oвим језерима и језерима дуж канала и обилазни канал у смеру Zalewoа oд језера Jeziorak дo jeзера Ewingi, укључујући то језеро</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Канал Gliwicki заједно с каналом Kędzierzyński</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Канал Jagielloński oд спајања са реком Elbląg до реке Nogat</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Канал Łączański </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Канал Ślesiński са језерима који се налазе дуж oвог канала и језеро Gopło</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Канал Żerański </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Martwa Wisła од реке Visłе у Przegalini дo границе са унутрашњим морским водама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Narew oд ушћа реке Biebrza до ушћа реке Visłе, заједно са језером Zegrzyński</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Nogat од реке Visłе до ушћа у лагуну Visłе</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Noteć (горњи ток) од језера Gopło до спајања са каналом Górnonotecki и канал Górnonotecki и Река Noteć (доњи ток) од спајања са каналом Bydgoski до ушћа у реку Warta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Nysa Łużycka од Gubinа до ушћа у реку Одру</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Oдра од града Racibórz дo спајања са Источном Одром која постаје река Regalica од прокопа Klucz-Ustowo, заједно с том реком и њеним притокама до језера Dąbie, као и обилазни канал реке Oдре од преводнице Opatowice до преводнице у граду Wrocławu</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Западна Одра од бране у Widuchowa (704,1 km реке Одре) до границе са унутрашњим морским водама, заједно са притокама, као и прокоп Klucz-Ustowo који повезује реку Источну Одру са реком Западном Одром</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Parnica и прокоп Parnicki од Западне Одре до границе са унутрашњим морским водама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Pisa од језера Roś до ушћа реке Narew</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Река Szkarpawa од реке Visłе до ушћа у лагуну Visłе </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Warta од језера Ślesińskie до ушћа реке Одре</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Систем Wielkie Jeziora Mazurskie који обухвата језера повезана рекама и каналима који чине главну руту од језера Roś (укључујући то језеро) у Pisz дo канала Węgorzewski (укључујући тај канал) у Węgorzewo, заједно са језерима Seksty, Mikołajskie, Tałty, Tałtowisko, Kotek, Szymon, Szymoneckie, Jagodne, Boczne, Tajty, Kisajno, Dargin, Łabap, Kirsajty и Święcajty, заједно са каналом Giżycki, каналом Niegociński и каналом Piękna Góra и обилазни канал језера Ryńskie (укључујући то језеро) у Ryn до језера Nidzkie (до 3 km, које чини границу са природним резерватом </w:t>
      </w:r>
      <w:r>
        <w:rPr>
          <w:rFonts w:ascii="Arial" w:eastAsia="Times New Roman" w:hAnsi="Arial" w:cs="Arial"/>
          <w:sz w:val="20"/>
          <w:szCs w:val="20"/>
          <w:lang w:eastAsia="sr-Latn-RS"/>
        </w:rPr>
        <w:t>"</w:t>
      </w:r>
      <w:r w:rsidRPr="000241D5">
        <w:rPr>
          <w:rFonts w:ascii="Arial" w:eastAsia="Times New Roman" w:hAnsi="Arial" w:cs="Arial"/>
          <w:sz w:val="20"/>
          <w:szCs w:val="20"/>
          <w:lang w:eastAsia="sr-Latn-RS"/>
        </w:rPr>
        <w:t>Језеро Nidzkie</w:t>
      </w:r>
      <w:r>
        <w:rPr>
          <w:rFonts w:ascii="Arial" w:eastAsia="Times New Roman" w:hAnsi="Arial" w:cs="Arial"/>
          <w:sz w:val="20"/>
          <w:szCs w:val="20"/>
          <w:lang w:eastAsia="sr-Latn-RS"/>
        </w:rPr>
        <w:t>"</w:t>
      </w:r>
      <w:r w:rsidRPr="000241D5">
        <w:rPr>
          <w:rFonts w:ascii="Arial" w:eastAsia="Times New Roman" w:hAnsi="Arial" w:cs="Arial"/>
          <w:sz w:val="20"/>
          <w:szCs w:val="20"/>
          <w:lang w:eastAsia="sr-Latn-RS"/>
        </w:rPr>
        <w:t>), заједно са језерима Bełdany, Guzianka Mała и Guzianka Wielka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Visłа oд ушћа реке Przemsza до спајања с каналом Łączański, као и од ушћа тог канала у Skawina до ушћа реке Visłе у залив Gdańsk, осим акумулационог језера Włocławski</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РУМУНИЈА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Дунав од српско-румунске границе (1.075 km) дo Црног мора каналом Сулина </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Канал Дунав </w:t>
      </w:r>
      <w:r>
        <w:rPr>
          <w:rFonts w:ascii="Arial" w:eastAsia="Times New Roman" w:hAnsi="Arial" w:cs="Arial"/>
          <w:sz w:val="20"/>
          <w:szCs w:val="20"/>
          <w:lang w:eastAsia="sr-Latn-RS"/>
        </w:rPr>
        <w:t>-</w:t>
      </w:r>
      <w:r w:rsidRPr="000241D5">
        <w:rPr>
          <w:rFonts w:ascii="Arial" w:eastAsia="Times New Roman" w:hAnsi="Arial" w:cs="Arial"/>
          <w:sz w:val="20"/>
          <w:szCs w:val="20"/>
          <w:lang w:eastAsia="sr-Latn-RS"/>
        </w:rPr>
        <w:t xml:space="preserve"> Црно море (дужина 64,410 km): од стецишта са реком Дунав на 299,300 km Дунава код Cernavodă (односно 64,410 km канала), до луке Constanta југ Agigea (km </w:t>
      </w:r>
      <w:r>
        <w:rPr>
          <w:rFonts w:ascii="Arial" w:eastAsia="Times New Roman" w:hAnsi="Arial" w:cs="Arial"/>
          <w:sz w:val="20"/>
          <w:szCs w:val="20"/>
          <w:lang w:eastAsia="sr-Latn-RS"/>
        </w:rPr>
        <w:t>"</w:t>
      </w:r>
      <w:r w:rsidRPr="000241D5">
        <w:rPr>
          <w:rFonts w:ascii="Arial" w:eastAsia="Times New Roman" w:hAnsi="Arial" w:cs="Arial"/>
          <w:sz w:val="20"/>
          <w:szCs w:val="20"/>
          <w:lang w:eastAsia="sr-Latn-RS"/>
        </w:rPr>
        <w:t>0</w:t>
      </w:r>
      <w:r>
        <w:rPr>
          <w:rFonts w:ascii="Arial" w:eastAsia="Times New Roman" w:hAnsi="Arial" w:cs="Arial"/>
          <w:sz w:val="20"/>
          <w:szCs w:val="20"/>
          <w:lang w:eastAsia="sr-Latn-RS"/>
        </w:rPr>
        <w:t>"</w:t>
      </w:r>
      <w:r w:rsidRPr="000241D5">
        <w:rPr>
          <w:rFonts w:ascii="Arial" w:eastAsia="Times New Roman" w:hAnsi="Arial" w:cs="Arial"/>
          <w:sz w:val="20"/>
          <w:szCs w:val="20"/>
          <w:lang w:eastAsia="sr-Latn-RS"/>
        </w:rPr>
        <w:t xml:space="preserve"> канала) </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Канал Poarta Albă</w:t>
      </w:r>
      <w:r>
        <w:rPr>
          <w:rFonts w:ascii="Arial" w:eastAsia="Times New Roman" w:hAnsi="Arial" w:cs="Arial"/>
          <w:sz w:val="20"/>
          <w:szCs w:val="20"/>
          <w:lang w:eastAsia="sr-Latn-RS"/>
        </w:rPr>
        <w:t>-</w:t>
      </w:r>
      <w:r w:rsidRPr="000241D5">
        <w:rPr>
          <w:rFonts w:ascii="Arial" w:eastAsia="Times New Roman" w:hAnsi="Arial" w:cs="Arial"/>
          <w:sz w:val="20"/>
          <w:szCs w:val="20"/>
          <w:lang w:eastAsia="sr-Latn-RS"/>
        </w:rPr>
        <w:t xml:space="preserve">Midia Năvodari (дужина 34,600 km): од стецишта са Каналом Дунав </w:t>
      </w:r>
      <w:r>
        <w:rPr>
          <w:rFonts w:ascii="Arial" w:eastAsia="Times New Roman" w:hAnsi="Arial" w:cs="Arial"/>
          <w:sz w:val="20"/>
          <w:szCs w:val="20"/>
          <w:lang w:eastAsia="sr-Latn-RS"/>
        </w:rPr>
        <w:t>-</w:t>
      </w:r>
      <w:r w:rsidRPr="000241D5">
        <w:rPr>
          <w:rFonts w:ascii="Arial" w:eastAsia="Times New Roman" w:hAnsi="Arial" w:cs="Arial"/>
          <w:sz w:val="20"/>
          <w:szCs w:val="20"/>
          <w:lang w:eastAsia="sr-Latn-RS"/>
        </w:rPr>
        <w:t xml:space="preserve"> Црно море на 29,410 km код Poarta Albă (односно 27.500 km канала) до луке Midia (km </w:t>
      </w:r>
      <w:r>
        <w:rPr>
          <w:rFonts w:ascii="Arial" w:eastAsia="Times New Roman" w:hAnsi="Arial" w:cs="Arial"/>
          <w:sz w:val="20"/>
          <w:szCs w:val="20"/>
          <w:lang w:eastAsia="sr-Latn-RS"/>
        </w:rPr>
        <w:t>"</w:t>
      </w:r>
      <w:r w:rsidRPr="000241D5">
        <w:rPr>
          <w:rFonts w:ascii="Arial" w:eastAsia="Times New Roman" w:hAnsi="Arial" w:cs="Arial"/>
          <w:sz w:val="20"/>
          <w:szCs w:val="20"/>
          <w:lang w:eastAsia="sr-Latn-RS"/>
        </w:rPr>
        <w:t>0</w:t>
      </w:r>
      <w:r>
        <w:rPr>
          <w:rFonts w:ascii="Arial" w:eastAsia="Times New Roman" w:hAnsi="Arial" w:cs="Arial"/>
          <w:sz w:val="20"/>
          <w:szCs w:val="20"/>
          <w:lang w:eastAsia="sr-Latn-RS"/>
        </w:rPr>
        <w:t>"</w:t>
      </w:r>
      <w:r w:rsidRPr="000241D5">
        <w:rPr>
          <w:rFonts w:ascii="Arial" w:eastAsia="Times New Roman" w:hAnsi="Arial" w:cs="Arial"/>
          <w:sz w:val="20"/>
          <w:szCs w:val="20"/>
          <w:lang w:eastAsia="sr-Latn-RS"/>
        </w:rPr>
        <w:t xml:space="preserve"> канала) </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РЕПУБЛИКА СЛОВАЧКА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Дунав: oд rkm 1880,26 дo rkm 1708,20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Канал Дунав: oд rkm 1851,75 дo rkm 1811,00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Váh: oд rkm 0,00 дo rkm 70,00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Morava: oд rkm 0,00 дo rkm 6,00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Bodrog: oд rkm 49,68 дo rkm 64,85</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Вештачка језера: </w:t>
      </w:r>
      <w:r w:rsidRPr="000241D5">
        <w:rPr>
          <w:rFonts w:ascii="Arial" w:eastAsia="Times New Roman" w:hAnsi="Arial" w:cs="Arial"/>
          <w:sz w:val="20"/>
          <w:szCs w:val="20"/>
          <w:lang w:val="sk-SK" w:eastAsia="sr-Latn-RS"/>
        </w:rPr>
        <w:t>Oravská Priehrada, Liptovská Mara, Zemplínska Šírava</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КРАЉЕВИНА ШВЕДСКА </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 xml:space="preserve">Језеро Mälaren </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Saltsjön, луке Stockholm и Värmdölandet: Подручје од испуста језера Mälaren у Stockholmu, у Norrströmu, у Slussenu и у Hammarbyslussenu, омеђено копном и мостом Lidingöbron те линијом која пролази светлом Elfviksgrunda на смеру (азимуту) од 135 дo 315 степени; линијом од Mellangårdsholmena дo Högklevsuddea у Baggensfjärdenu; Örsundeta између Ingaröa и Fågelbrolandeta; линијом од Rönnäsudda преко светла Tegelhällana и светла Runöa дo Talatta нa Djuröu; линијом преко Vindöströma oд Vindöa дo Värmdölandeta; те острвима у том подручју.</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Канал Södertälje и луке у Södertäljeu: Канал Södertälje и луке у Södertäljeu, омеђени на северу преводницом Södertälje, а на југу паралелом географске ширине N 59° 09′ 00″.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Канал Trollhätte, Göta älv и Nordre älv: Подручје од паралеле на географској ширини која пролази навигацијском ознаком Bastungsgrunden у јужном делу језера Vänern до моста Älvsborg и реке Nordre älv до линије на географској дужини E 11° 45′ 00″.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Канал Göta: На истоку од преводнице Mem до моста Motala, укључујући језеро Asplången, језеро Roxen и језеро Boren; на западу од линије на географској дужини кроз светло Rödesund Norra Yttrea у Karlsborgu до преводнице Sjötorp, укључујући језерски систем кроз који канал пролази.</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(1) Напомена: У случају бродова чија се матична лука налази у другој држави, треба узети у обзир члан 32. Уговора Ems-Dollart oд 8. априла 1960. (BGBl. 1963 II, стp. 602).</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РЕПУБЛИКА СРБИЈА</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Дунав: oд rkm 1433,10 дo rkm 845,50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Сава: oд rkm 210,80 дo rkm 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Tиса: oд rkm 164 дo rkm 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Канали хидросистема Дунав-Тиса-Дунав</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Канал Бегеј: oд rkm 34,80 дo rkm 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Велика Морава: oд rkm 16 дo rkm 0</w:t>
      </w:r>
    </w:p>
    <w:p w:rsidR="000241D5" w:rsidRP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Дрина: oд rkm 15 дo rkm 0</w:t>
      </w:r>
    </w:p>
    <w:p w:rsidR="000241D5" w:rsidRDefault="000241D5" w:rsidP="000241D5">
      <w:pPr>
        <w:widowControl/>
        <w:autoSpaceDE/>
        <w:autoSpaceDN/>
        <w:spacing w:after="150"/>
        <w:ind w:firstLine="480"/>
        <w:rPr>
          <w:rFonts w:ascii="Arial" w:eastAsia="Times New Roman" w:hAnsi="Arial" w:cs="Arial"/>
          <w:sz w:val="20"/>
          <w:szCs w:val="20"/>
          <w:lang w:eastAsia="sr-Latn-RS"/>
        </w:rPr>
      </w:pPr>
      <w:r w:rsidRPr="000241D5">
        <w:rPr>
          <w:rFonts w:ascii="Arial" w:eastAsia="Times New Roman" w:hAnsi="Arial" w:cs="Arial"/>
          <w:sz w:val="20"/>
          <w:szCs w:val="20"/>
          <w:lang w:eastAsia="sr-Latn-RS"/>
        </w:rPr>
        <w:t>Река Тамиш: oд rkm 1,20 дo rkm 0.</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eastAsia="sr-Latn-RS"/>
        </w:rPr>
      </w:pPr>
      <w:r w:rsidRPr="000241D5">
        <w:rPr>
          <w:rFonts w:ascii="Arial" w:eastAsia="Times New Roman" w:hAnsi="Arial" w:cs="Arial"/>
          <w:color w:val="000000"/>
          <w:sz w:val="18"/>
          <w:szCs w:val="18"/>
          <w:lang w:eastAsia="sr-Latn-RS"/>
        </w:rPr>
        <w:t>ПРИЛОГ 2.</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eastAsia="sr-Latn-RS"/>
        </w:rPr>
      </w:pPr>
      <w:r w:rsidRPr="000241D5">
        <w:rPr>
          <w:rFonts w:ascii="Arial" w:eastAsia="Times New Roman" w:hAnsi="Arial" w:cs="Arial"/>
          <w:color w:val="000000"/>
          <w:sz w:val="18"/>
          <w:szCs w:val="18"/>
          <w:lang w:eastAsia="sr-Latn-RS"/>
        </w:rPr>
        <w:t>ТЕХНИЧКА ПРАВИЛА ЗА ПЛОВИЛА УНУТРАШЊЕ ПЛОВИДБЕ КОЈА ПЛОВЕ НА УНУТРАШЊИМ ВОДНИМ ПУТЕВИМА КОЈИ ПРИПАДАЈУ ЗОНАМА ПЛОВИДБЕ БРОДОВА 1, 2, 3 И 4 (ES-TRIN СТАНДАРД)</w:t>
      </w:r>
    </w:p>
    <w:p w:rsidR="000241D5" w:rsidRDefault="000241D5" w:rsidP="000241D5">
      <w:pPr>
        <w:widowControl/>
        <w:autoSpaceDE/>
        <w:autoSpaceDN/>
        <w:spacing w:after="150"/>
        <w:ind w:firstLine="480"/>
        <w:rPr>
          <w:rFonts w:ascii="Arial" w:eastAsia="Times New Roman" w:hAnsi="Arial" w:cs="Arial"/>
          <w:color w:val="000000"/>
          <w:sz w:val="18"/>
          <w:szCs w:val="18"/>
          <w:lang w:eastAsia="sr-Latn-RS"/>
        </w:rPr>
      </w:pPr>
      <w:r w:rsidRPr="000241D5">
        <w:rPr>
          <w:rFonts w:ascii="Arial" w:eastAsia="Times New Roman" w:hAnsi="Arial" w:cs="Arial"/>
          <w:color w:val="000000"/>
          <w:sz w:val="18"/>
          <w:szCs w:val="18"/>
          <w:lang w:eastAsia="sr-Latn-RS"/>
        </w:rPr>
        <w:t>Tехничка правила за пловила унутрашње пловидбе која плове на унутрашњим водним путевима који припадају зонама пловидбе бродова 1, 2, 3 и 4 утврђена су у ES-TRIN стандарду 2021/1.</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ПРИЛОГ 3.</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ПОДРУЧЈА МОГУЋИХ ДОДАТНИХ ТЕХНИЧКА ПРАВИЛА КОЈА СЕ ПРИМЕЊУЈУ НА ПЛОВИЛА УНУТРАШЊЕ ПЛОВИДБЕ КОЈА ПЛОВЕ НА УНУТРАШЊИМ ВОДНИМ ПУТЕВИМА ЗОНЕ 1 И 2, КАО И НЕПОВЕЗАНЕ ЗОНЕ 3</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Додатнa техничкa правила за бродове који плове искључиво на водним путевима на територији Републике Србије, ограничавају се на следеће области:</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 xml:space="preserve">1. Дефиниције </w:t>
      </w: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Потребне за разумевање додатних правила.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2. Стабилитет:</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Појачање конструкције;</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Сведочанство/потврда признатог класификационог друштва.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3. Сигурносни размак и надвође:</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Надвође;</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Сигурносни размак.</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4. Водонепропусност отвора у трупу и надграђу:</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Надграђа;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Врата;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Прозори и видници;</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Гротла складишта;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Остали отвори (вентилационе цеви, испушне цеви и др.).</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5. Опрема: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Сидра и сидрени ланци;</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Навигацијска светла;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Звучни сигнали;</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Компас;</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Радар;</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Примопредајници;</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Опрема за спасавање;</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Расположивост поморских карата.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6. Додатне области за путничка пловила: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Стабилитет (јачина ветра, критеријуми);</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Опрема за спасавање;</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Надвође;</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Сигурносни размак;</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Видљивост из кормиларнице.</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7. Састави и превоз контејнера: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Веза потискивача и потиснице;</w:t>
      </w:r>
    </w:p>
    <w:p w:rsid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Стабилитет пловила или потисница које превозе контејнере.</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ПРИЛОГ 4.</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ПОДРУЧЈА МОГУЋИХ СНИЖЕЊА ТЕХНИЧКИХ ПРАВИЛА КОЈА СЕ ПРИМЕЊУЈУ НА ПЛОВИЛИМА КОЈА ПЛОВЕ НА УНУТРAШЊИМ ВОДНИМ ПУТЕВИМА ЗОНЕ 3 И 4</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Смањени технички захтеви за бродове који плове искључиво на водним путевима Зоне 3 или Зоне 4 (ако је примењиво) Републике Србије, ограничавају се на следеће области:</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Зона 3</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Опрема за сидрење, укључујући дужину сидрених ланаца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Брзина (у вожњи напред)</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Колективна опрема за спасавање</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Наплављивање два одељења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Видљивост из кормиларнице</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Зона 4</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Опрема за сидрење, укључујући дужину сидрених ланаца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Брзина (у вожњи напред)</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Опрема за спасавање</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Наплављивање два одељења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Видљивост из кормиларнице</w:t>
      </w:r>
    </w:p>
    <w:p w:rsid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Други независни систем пропулзије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ПРИЛОГ 5.</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УПУТСТВА КОЈИМА СЕ БЛИЖЕ УРЕЂУЈУ ПОЈЕДИНИ ТЕХНИЧКИ ЗАХТЕВИ КОЈИ СУ ОБУХВАЋЕНИ ТЕХНИЧКИМ ПРАВИЛИМА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Способност брода за пловидбу утврђује Управа за утврђивање способности бродова за пловидбу (у даљем тексту: Управа) вршењем техничког надзора којим се утврђује да брод одговара захтевима Техничких правила у складу са законом којим се уређује пловидба и луке на унутрашњим водама.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 Технички надзор врши Управа за утврђивање способности бродова за пловидбу (у даљем тексту: Управа).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1.2. Управа је орган управе у саставу министарства надлеженог за послове саобраћаја образован за обављање стручних и техничких послова у области утврђивања способности бродова за пловидбу.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 Припрема брода за преглед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 Власник или његов представник припрема за преглед брод без терета, очишћен и опремљен. Пружа за преглед потребну помоћ, као што је обезбеђивање одговарајућег чамца и особља и омогућавање приступа до свих делова трупа или опреме који нису непосредно доступни или видљиви.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 Основни преглед брода се врши на сувом. Од прегледа на сувом може се одустати ако се предочи сведочанство о класи или сведочанство признатог класификационог друштва којом се потврђује да конструкција одговара његовим правилима или ако се предочи сведочанство којим се доказује да је већ извршен преглед на сувом у друге сврхе. Редовни и ванредни преглед врши се на сувом, а може се обавити и на води.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Управа врши пробне вожње током основног прегледа моторног брода или састава или ако су на бродским системима погона или кормиларења изведене веће преправке.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2.3. Управа може захтевати додатна оперативна испитивања и друге пропратне документе за преглед и током градње брода.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3. Подаци у сведочанству о способности брода за пловидбу и измене сведочанства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 Власник брода или бродар обавештава Управу о свакој промени имена или власништва брода, о свакој промени регистрације или матичне луке и доставља сведочанство о способности брода за пловидбу (у даљем тексту: сведочанство) ради измене.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3.2. Управа може у сведочанству о способности брода за пловидбу вршити измене података.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3.3. Ако Управа уноси измене у исправу о способности коју је издао орган друге државе, о томе обавештава орган који је исправу издао.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4. Редовни преглед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4.1. Брод подлеже редовном прегледу пре истека важења сведочанства.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4.2. Управа утврђује период важења сведочанства у складу с резултатима прегледа.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4.3. Период важења уписује се у сведочанство.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4.4. Ако се уместо продужења периода важења сведочанство замењује новом верзијом сведочанства, претходно сведочанство враћа се надлежном телу које ју је издао.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5. Добровољни преглед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Власник пловила или бродар може у сваком тренутку добровољно затражити преглед.</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6. Трошкови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Власник пловила или бродар сноси трошкове за вршење техничког надзора и издавања сведочанства.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7. Информације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Лицима које докажу свој оправдан интерес Управа може допустити да се упознају са садржајем сведочанства.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8. Уписник сведочанстава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8.1. Управа чува оригинале или копије свих издатих сведочанстава и у њих уноси све податке и измене, заједно са свим поништењима и заменама сведочанстава. О издатим сведочанствима води уписник.</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8.2. Уписник се води у електронском облику и доступан је на интернет страници министарства надлежног за послове саобраћаја.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9. Јединствени европски идентификациони број брода унутрашње пловидбе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9.1. Јединствени европски идентификациони број (ЕNI) састоји се од осам арапских цифара.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9.2. ЕNI број одређује министарство надлежно за послове саобраћаја.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9.3. Власник брода подноси захтев за одређивање ЕNI броја. Власник брода поставља ознаку ЕNI броја који је уписан у сведочанство.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Контролни лист за редовни преглед брода дат је у Додатку овог прилога.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Додатак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КОНТРОЛНИ ЛИСТ ЗА РЕДОВНИ ПРЕГЛЕД БРОДА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ИМЕ/ОЗНАКА БРОДА: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ENI БРОЈ:</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РЕГИСТАРСКИ БРОЈ:</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МЕСТО И ДАТУМ ПРЕГЛЕДА: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Преглед се врши на основу Правилника о техничким правилима за статутарну сертификацију бродова унутрашње пловидбе и ES TRIN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стандарди за бродове унутрашње пловидбе</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05"/>
        <w:gridCol w:w="7258"/>
        <w:gridCol w:w="389"/>
        <w:gridCol w:w="398"/>
        <w:gridCol w:w="464"/>
        <w:gridCol w:w="2027"/>
      </w:tblGrid>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Тачка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Технички захтев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ПРЕЛ.ОДР.</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(НЗП, обнова ССБП после*)</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БРОДОГРАЂЕВИНСКИ ЗАХТЕВИ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брод је изграђен у складу са правилима и има важећу класу признатог класификационог друштва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прорачун уздужне/попречне/локалне чврстоће.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сведочанство о класи/изјава овлашћеног класификационог друштва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минималне дебљине лимова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непропусне преграде, прамац, крма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стамбене просторије иза преграде прамчаног пика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заштитна опрема/врата на крменој прегради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гаснонепропусно одвајање стамбених од машинских просторија, излази за случај опасности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сидра су у конструкцији трупа на прамцу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танкови горива одвојени од стамбених просторија преграде, плафони, отвори и врата МП, котларница отвори у зидовима, плафонима и врата МП, котларница проветравање МП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степенице и лестве које воде у МП, котларнице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излази у случају опасности из МП и котларница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НАДВОЂЕ И ОЗНАКЕ ГАЗА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растојање безбедности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Надвође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минимално надвође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ознаке газа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30.12.2024./6*</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максимални газ/гротла складишта су потпуно или делимично покривена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лествице газа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посебни захтеви за зону пловидбе 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МАНЕВАРСКЕ СПОСОБНОСТИ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опште одредбе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навигационе пробе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подручја навигационих проба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степен оптерећења брода сепарат/састав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употреба бродских уређаја при проби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минимална брзина у вожњи напред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Заустављање (зауставни пут)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кретање крмом (вожња у назад)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избегавање (маневар)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Окретање (мин. круг окрета)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КОРМИЛАРСКИ УРЕЂАЈ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општи захтеви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маневарска способност прописана делом V за резервни (ручни) погон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заптивачи вратила кормилa пројектовани да не загађују воду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Погонска јединица резервни погон кормиларског уређаја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01.01.2026.</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дуплирање регулационих вентила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01.01.2026.</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активирање друге погонске јединице једним поступком (прелаз са главног на резервно кормиларење)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01.01.2026.</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посебни хидраулични резервоари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01.01.2026.</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Хидраулична погонска јединица аларм нивоа уља у хидрауличним резервоарима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прикључивање других потрошача на хидрауличне погонске јединице кормиларског уређаја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01.01.2026.</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хидраулична црева/преглед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два извора енергије независна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ручни погон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остали пропулзивни системи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индикатор нивоа уља </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 притиска у резервоарима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01.01.2026.</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регулатор брзине заокрета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Сведочанство о исправности кормиларског уређаја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КОРМИЛАРНИЦА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опште одредбе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несметана видљивост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контролни инструменти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сигнализација рада уређаја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светлосни и звучни аларми неисправности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аутоматско пребацивање резервног напајања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управљање главним моторима помоћу командне ручице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управљање спојницама, кормилима, прамчаним пропулзорима управљање помоћу командне ручице управљање крменим сидрима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приказивање смера пропулзије и броја обртаја пропелера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управљање и контрола додатног кормиларског система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ознаке навигационих светиљки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контрола рада светала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распоред опреме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типска одобрења за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ECDIS</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радар и аксиометар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радиостанице и AIS транспондери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потврда о исправности и дозвола за постављање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функционални распоред опреме (управљање од стране једног лица уз употребу радара)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интерна комуникација (управљање од стране једног лица уз употребу радара)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прописан размештај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квалитет везе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размештај општег аларма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укључивање/искључивање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звучни притисак и светлосни аларм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грејање и вентилација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управљање крменим сидром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звучни сигнал спуштања кормиларнице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спуштања за случај опасности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безбедно напуштање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уношење напомене у БС (управљање од стране једног лица уз употребу радара)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МАШИНСКИ ПРОСТОР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посуде под притиском/сведочанство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гашење вентилације изван МП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главни мотори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помоћни мотори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заштитна опрема цеви високог притиска за главне моторе цеви са дуплим зидовима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уређаји за контролу аларми главних мотора и преносних механизама заштита од прекорачења брзине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издувни системи мотора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танкови за гориво, цевоводи и помоћна опрема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структурни танкови за гориво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аутоматско затварање вентила танкова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прекид пуњења танка (97%)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уређај за очитавање количине горива до највишег нивоа пуњења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танкови горива испред колизионе преграде и изнад мотора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аларми, контрола нивоа пуњења танкова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30.12.2029.; </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танк уља за подмазивање, цевоводи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танк уља за системе управљања и грејања, цевоводи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системи за каљужирање и дренажу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за мерење у складиштима каљуже (сепаратор каљуже)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танк отпадног уља и прљавог горива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бука коју производе бродови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ЕМИСИЈА ГАСОВИТИХ ЗАГАЂИВАЧА И ЗАГАЂУЈУЋИХ ЧЕСТИЦА ИЗ ДИЗЕЛ МОТОРА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усклађеност са Директивом 97/68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типско одобрење за мотор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контрола уградње, средње и посебно испитивање мотора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техничке службе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ЕЛЕКТРИЧНА ОПРЕМА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jеднополна шема ел. инсталације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вишеполне шеме ГРТ, РТ и пултева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документи и сертификати опреме и инсталација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температура амбијента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подаци о снази машинске и електро опреме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мегатест кабловске мреже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врсте, типови и пресеци каблова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eлектрични биланс снаге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два независна извора енергије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минимална механичка заштита опреме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oпрема у противексплозивној заштити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прекидачи изван угрожених просторија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уземљење металних делова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уземљење мобилне опреме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пресек проводника уземљења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максимално дозвољени напони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галванско одвајање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изоловање секундара сигурносних трансформатора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развода једносмерне струје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развода једнофазне наизменичне струје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развода трофазне наизменичне струје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фиксирање утичнице обалског прикључка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прекидачи, сигнализација и заштита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индикација на ГРТ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табла са упутствима и упозорењима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тип и пресек каблова обалског прикључка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максимална струја утичнице за напајање другог објекта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блокада укључења/искључења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генератори и електромотори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управљачке кутије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опсези брзина обртања генератора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смештај и фиксирање акумулатора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акумулаторске просторије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заштита површина од дејства електролита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вентилација акумулаторске просторије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ознаке и упозорења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смештај и комплетност разводних табли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раздвајање стезаљки и означавање струјних кругова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заштита од случајног контакта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уземљење врата и конструкције табли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примењени материјали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помоћни прибор и заштитна опрема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заштита струјних кругова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прекидачи струјних кругова (&gt;16А)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струјни кругови директно напајаних уређаја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инструменти за мерење и надзор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детекција и аларм земљоспоја мрежа напона преко 50V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изолациона решетка/простирка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гумени тепих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даљинско искључење у случају нужде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увођење каблова у опрему и уређаје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утичнице различитих напона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употреба једнополних прекидача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утичнице &gt;16А блокада укључења/искључења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врсте, типови и пресеци каблова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минимални пресек проводника 1,5 mm</w:t>
            </w:r>
            <w:r w:rsidRPr="000241D5">
              <w:rPr>
                <w:rFonts w:ascii="Arial" w:eastAsia="Times New Roman" w:hAnsi="Arial" w:cs="Arial"/>
                <w:sz w:val="15"/>
                <w:szCs w:val="15"/>
                <w:vertAlign w:val="superscript"/>
                <w:lang w:val="sr-Latn-RS" w:eastAsia="sr-Latn-RS"/>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дозвољена температура и пад напона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уземљење каблова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заштита и фиксирање каблова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пролази каблова кроз преграде и палубе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завршеци и спојеви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флексибилни каблови покретних кормиларница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типови светиљки и размештај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два струјна круга напајање осветљења МП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напајање РТ навигационих светала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заштита и сигнализација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надзор грешке навигационих светала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обим система аларма и заштите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потврђивање аларма и звучно упозорење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индикација активирања заштите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провера функционалности заштите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сертификати за електронску опрему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електромагнетска компатибилност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ЕЛЕКТРИЧНЕ ИНСТАЛАЦИЈЕ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ЕЛЕКТРОНСКА ОПРЕМА И СИСТЕМИ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ОПРЕМА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сидра прамчана, P</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сидра крмена, P </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ланац прамчаног сидра, R </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ланац крменог сидра, R</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спојни делови, сидрена ужад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радио-телефонска опрема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апарати и уређаји за емитовање визуелних и звучних сигнала и за обележавање брода.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резервна привезна светла.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обележене канте за отпатке: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зауљених крпа за чишћење опасног или загађујућег чврстог отпада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опасног или загађујућег течног отпада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остатака хране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других зауљених или масних отпада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ужад за вез/тегљење/бацање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мостић за укрцавање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чакља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кутија прве помоћи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двоглед</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упутствo за спашавање и пружање прве помоћи лицима у води и удара ел. струјом</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рефлектор којим се може управљати из кормиларнице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лестве за укрцавање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преносни ватрогасни апарати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трајно постављени противпожарни системи за заштиту стамбених просторија, кормиларница </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 простора за путнике: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сведочанство о прегледу спец.фирме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трајно постављени противпожарни системи МП, котларница и пумпних простора: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средства за гашење пожара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противпожарни системи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СО</w:t>
            </w:r>
            <w:r w:rsidRPr="000241D5">
              <w:rPr>
                <w:rFonts w:ascii="Arial" w:eastAsia="Times New Roman" w:hAnsi="Arial" w:cs="Arial"/>
                <w:sz w:val="15"/>
                <w:szCs w:val="15"/>
                <w:vertAlign w:val="subscript"/>
                <w:lang w:val="sr-Latn-RS" w:eastAsia="sr-Latn-RS"/>
              </w:rPr>
              <w:t>2</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противпожарни системи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НFC-227ea</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противпожарни системи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IG -541</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противпожарни системи FK-5-1-12</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вентилација, усисавање ваздуха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противпожарне узбуне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цевовода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 за активирање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за упозорење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танкови под притиском, арматура и цеви </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количина средстава за гашење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сведочанство о прегледу спец.фирме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(CO</w:t>
            </w:r>
            <w:r w:rsidRPr="000241D5">
              <w:rPr>
                <w:rFonts w:ascii="Arial" w:eastAsia="Times New Roman" w:hAnsi="Arial" w:cs="Arial"/>
                <w:sz w:val="15"/>
                <w:szCs w:val="15"/>
                <w:vertAlign w:val="subscript"/>
                <w:lang w:val="sr-Latn-RS" w:eastAsia="sr-Latn-RS"/>
              </w:rPr>
              <w:t>2</w:t>
            </w:r>
            <w:r w:rsidRPr="000241D5">
              <w:rPr>
                <w:rFonts w:ascii="Arial" w:eastAsia="Times New Roman" w:hAnsi="Arial" w:cs="Arial"/>
                <w:sz w:val="20"/>
                <w:szCs w:val="20"/>
                <w:lang w:val="sr-Latn-RS" w:eastAsia="sr-Latn-RS"/>
              </w:rPr>
              <w:t>)</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бродски чамци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европски стандард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колутови и прслуци за спасавање са надувавањем, стандард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БЕЗБЕДНОСТ И ЗДРАВЉЕ НА РАДУ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ограде, рукохвати, ногобрани, ограде бочних палуба и спољних ивица палуба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1.1.2020.</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палубе, слободна ширина бочне палубе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1.1.2035. за пловила </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B&gt; 7,30m </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бочне решеткасте ограде на бродовима дужине L&lt;55 m, који имају стамбене просторије само на крми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1.1.2020.</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бочне палубе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30.12.2049. за пловила </w:t>
            </w:r>
            <w:r w:rsidRPr="000241D5">
              <w:rPr>
                <w:rFonts w:ascii="Arial" w:eastAsia="Times New Roman" w:hAnsi="Arial" w:cs="Arial"/>
                <w:sz w:val="20"/>
                <w:szCs w:val="20"/>
                <w:lang w:val="sr-Latn-RS" w:eastAsia="sr-Latn-RS"/>
              </w:rPr>
              <w:br/>
              <w:t xml:space="preserve">B &gt; 7,30m </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приступи у радне просторије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врата и прилази, излази и пролази, где је разлика у нивоу пода већа од 0,50 m </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степеништа у радним просторијама у којима је стално присутна посада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излази и излази за случај опасности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сиз, лестве, степенице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унутрашњи простори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заштита од буке и вибрација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поклопци гротала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Витла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Дизалице: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таблица произвођача, максимално дозвољена оптерећења, уређаји за заштиту, прорачун, сведочанство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чување запаљивих течности опрема за пружање прве помоћи натписи, упутства, упозорења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СТАМБЕНЕ ПРОСТОРИЈЕ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стамбене просторије за лица која станују на пловилу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димензије, пројектни захтеви, положај подова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просторије за боравак и спавање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слободна висина у стамбеним просторијама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слободна површина пода заједничких просторија за боравак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запремина просторија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запремина ваздушног простора по лицу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величина врата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положај степеница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цеви које преносе опасне гасове или течности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грејање и вентилација, климатизација, излази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бука, вибрације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санитарне инсталације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кухиње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питка вода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танкови инсталација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грејање и вентилација, климатизација, излази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остала опрема у стамбеним просторијама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16</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ЗА ГРЕЈАЊЕ, КУХИЊСКИ И РАСХЛАДНИ УРЕЂАЈИ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16.02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употреба течних горива, уређаји ложени нафтом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16.03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пећи са гориоником на испарљиво уље, уређаји са гориоником који распршује нафту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16.04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пећи са гориоником на испарљиво уље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16.05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са гориоником који распршује нафту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16.06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за грејање са принудном циркулацијом ваздуха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16.07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грејање на чврсто гориво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НА УТЕЧЊЕНИ ГАС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опште одредбе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Инсталације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Боце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смештај и опрема јединица за снабдевање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резервне и празне боце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регулатори притиска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Притисак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цевовод и савитљиве цеви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разводни систем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потрошачи гаса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вентилација и одвођење сагорелих гасова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оперативни и сигурносни захтеви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17.13-17.15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пријемно испитивање, услови испитивања, потврда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ЗАГАЂИВАЊЕ УНУТРАШЊИХ ВОДА СА БРОДОВА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опште одредбе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захтев, потврда о типском одобрењу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поступак одобрења типа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измена одобрења типа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усклађеност типског одобрења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провера серијских бројева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усклађеност производње са одобреним типом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неусклађеност производње са одобреним типом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мерење случајних узорака током експлоатације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техничке службе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ПОСЕБНИ ЗАХТЕВИ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ПУТНИЧКИ БРОДОВИ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опште одредбе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изузећа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минималне дебљине лимова преграде, отвори врата на преградама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прорачун стабилитета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растојање безбедности и надвође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највећи број путника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критеријуми: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постојање простора за евакуацију</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прорачун стабилитета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број расположивих кревета за путнике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путничке просторије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ормани, простори за запаљиве течности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излази (број, ширина)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врата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спојни ходници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путеви за евакуацију</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системи сигурносних упутстава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зборни простори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степенице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палубе за путнике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двострука оплата (ширина)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простори без путника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мостићи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простори (ЛОП-лица са ограниченом покретљивошћу)</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стаклена врата/зидови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стаклена надграђа/кровови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питке воде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тоалети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кабине без прозора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просторије за посаду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други независни систем пропулзије постављен у одвојеном МП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сигурносни уређаји и опрема: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опрема за интерну комуникацију</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звучника/узбуњивање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алармни уређај за висину каљуже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каљужне пумпе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фиксни цевовод за каљужирање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врата на хладњачама, складиштима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смештај боца CO</w:t>
            </w:r>
            <w:r w:rsidRPr="000241D5">
              <w:rPr>
                <w:rFonts w:ascii="Arial" w:eastAsia="Times New Roman" w:hAnsi="Arial" w:cs="Arial"/>
                <w:sz w:val="15"/>
                <w:szCs w:val="15"/>
                <w:vertAlign w:val="subscript"/>
                <w:lang w:val="sr-Latn-RS" w:eastAsia="sr-Latn-RS"/>
              </w:rPr>
              <w:t>2</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кутије прве помоћи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опрема за спасавање: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колутови за спасавање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прслуци за спасавање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сплавови за спасавање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додатна колективна средства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опрема за пренос у плитку воду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основно осветљење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нужно осветљење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распоред и означавање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генератор (акубатерије) и РТ за случај опасности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потрошачи РТ за случај опасности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размештај генератора (акубатерије) и РТ за случај опасности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каблови потрошача РТ за случај опасности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аутоматско укључење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радни период (капацитет) извора за случај опасности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противпожарна заштита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погодност за противпожарну заштиту материјала установљена од акредитоване институције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Преграђивање: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табела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боје, лакови за обраду површина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плафони и облоге зидова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намештај у зборним просторима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тенде и преносне инсталације надграђа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врата на преградама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распоред зидова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вертикалне преграде подручја за путнике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шупљине изнад плафона, испод подова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степениште унутрашње, вентилациони системи и системи за довод ваздуха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вентилациони системи кухиње </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одводни димни системи у командним центрима, степеништима и евакуационим просторима,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простори без сталног надзора су прикључени на систем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Гашење пожара: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преносни ватрогасни апарати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хидрантни систем, пројекат ПП система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вентили и црева хидраната, отпорност на топлоту/смрзавање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смештај пумпи за гашење пожара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фиксни систем гашења пожара у МП</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опрема на бродовима са кабинама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програм безбедности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план безбедности по кабинама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правилник о понашању путника: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одређивање ванредних ситуација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опис различитих сигнала и упутства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за сакупљање и одстрањивање отпадних вода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резервоар за сакупљање отпадних вода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цеви и пумпе за пражњење танкова отпадне воде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одступања за путничке бродове који превозе највише 50 путника и чија дужина не прелази 25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одступања за путничке бродове који превозе највише 250 путника и дужине не веће од 45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одступања за путничке бродове који превозе највише 250 путника и дужине не веће од 25m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одступања за путничке бродове који превозе највише 600 путника и дужине не веће од 45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ПОСЕБНИ ЗАХТЕВИ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ПУТНИЧКИ ЈЕДРЕЊАЦИ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примена прилога 1 (не плове Рајном)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изузећа примене дела правила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мање 45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Стабилитет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бродограђевински/механички захтеви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Снасти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јарболи/облице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Јарболи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кошни наставци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Косници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прикосници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главни деблењаци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Сошњаци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опште одредбе </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помична/непомична опута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непомична опута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помична опута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опрема и делови опуте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Једра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Опрема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испитивање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ЗАХТЕВИ ЗА ПЛОВИЛА ПОГОДНА ДА ПОТИСКУЈУ, ИЛИ ДА БУДУ ДЕО ПОТИСКИВАНОГ, ТЕГЉЕНОГ ИЛИ БОЧНОГ САСТАВА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пловила за потискивање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пловила која се потискију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пловила за покретање бочних састава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пловила покретана у саставима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пловила погодна за тегљење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навигационе пробе састава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унос напомене у ССБП о саставима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ПОСЕБНИ ЗАХТЕВИ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ТЕХНИЧКИ ПЛОВНИ ОБЈЕКТИ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Изузеће од примене делова прописа: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максимални прописани ниво буке у току погона радног уређаја под условом да током експлоатације нема ноћног смештаја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Изузеће од примене делова прописа: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еквивалентна безбедност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Изузеће од примене делова прописа: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сидрење помоћу радног сидра/пилона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каљужна пумпа на моторни погон.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бочна бука 65 dB на 25 m од бока.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додатни ватрогасни апарат на палуби ако је на палуби мобилан радни уређај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примена других уређаја на утечњени гас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опште узбуне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чврстоћа радног уређаја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стабилност радног уређаја приликом накретања пловног објекта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ако се подиже терет дизалицом максимално оптерећење истакнуто на таблама на палуби и у контролним станицама.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преостало растојање безбедности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преостало надвође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опит накретања/прорачун тежишта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потврђивање стабилитета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потврђивање стабилитета у случају умањеног преосталог надвођа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ознаке газа и лествица газа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технички пловни објекти за које се не потврђује стабилитет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23</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ПОСЕБНИ ЗАХТЕВИ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ПЛОВИЛА ЗА ХИДРОГРАДЊУ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23.02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упис у ССБП способности за пловидбу изван зоне хидроградње када су без терета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Изузеће од примене делова прописа: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еквивалентна безбедност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Изузеће од примене делова прописа: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сидрење пловила сидра/пилони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23.04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растојање безбедности и надвође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23.05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бродски чамци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24</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ПОСЕБНИ ЗАХТЕВИ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ТРАДИЦИОНАЛНА ПЛОВИЛА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25</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РЕЧНО МОРСКИ БРОДОВИ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25.01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Прописи за пловидбу Рајном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ПОСЕБНИ ЗАХТЕВИ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ПЛОВИЛА ЗА РЕКРЕАЦИЈУ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брод је изграђен у складу са правилима и има важећу класу признатог класификационог друштва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прорачун уздужне/попречне/локалне чврстоће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сведочанство о класи или изјава овлашћеног класификационог друштва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минималне дебљине лимова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маневарска способност</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кормиларски уређај</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регулатори брзине заокрета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несметана видљивост</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за управљање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контролни инструменти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посебни захтеви за управљање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прамчана сидра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крмена сидра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сидрени ланци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сидрена ужад</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ужад за вез</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противпожарни апарати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за грејање, кухињски и расхладни уређаји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на утечњени гас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показивач брзине скретања курса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звучни притисак у кормиларници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додатни захтеви за пловила усклађена са Директивом 2013/53 ЕК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27</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ПОСЕБНИ ЗАХТЕВИ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СТАБИЛИТЕТ БРОДОВА ЗА ПРЕВОЗ КОНТЕЈНЕРА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опште одредбе за брод за превоз контејнера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27.02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гранични услов/прорачун стабилитета у случају превоза непричвршћених контејнера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27.03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гранични услов/прорачун стабилитета у случају превоза причвршћених контејнера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28</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БРОДОВИ ПРЕКО 110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примена прилога 1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дужина прелази 110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28.02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Чврстоћа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28.03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узгон/стабилитет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28.04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сертификати за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ECDIS</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радар и аксиометар, додатни ТЗ</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примена прописа у случају преправке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БРОДОВИ ВЕЛИКИХ БРЗИНА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опште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класа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даљинска контрола врата у НП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друга независна погонска јединица кормиларског уређаја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седишта/сигурносни појасеви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Надвође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узгон, стабилитет, преграђивање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кормиларски положај и распоред инструмената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положај другог члана посаде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обележавање панела и инструмената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црвено светло за обележавање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нерефлектујуће површине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радар и аксиометар за бродове велике брзине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опште комуникације на путничким бродовима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командни систем комуникације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излази/евакуациони путеви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заштита од пожара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ПОСЕБНИ ЗАХТЕВИ ЗА ПЛОВИЛА С ПРОПУЛЗИВНИМ СИСТЕМОМ КОЈИ РАДЕ НА ГОРИВА СА ТАЧКОМ ЗАПАЉИВОСТИ ЈЕДНАКОМ ИЛИ ВИШОМ ОД 55 °C</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Опште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горивни систем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Испитивање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организација безбедности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захтеви за заштиту околине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Обележавање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независни системи пропулзије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техничке службе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ОПРЕМА БРОДОВА ЗА ПОСАДУ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минимални број чланова посаде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СТАНДАРД S1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аутоматско управљање и надзор погона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даљинско искључење и укључење помоћних погона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звучна и светлосна сигнализација критичних параметара погона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аларм нивоа каљуже у МП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аутоматски довод горива и регулација хлађења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могућност давања звучних и светлосних сигнала за пловидбу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интерна комуникација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ручна сила од 160 N</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управљање рефлекторима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сила управљања ручицама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моторизована вучна витла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моторизоване каљужне пумпе и пумпе за прање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ергономски распоред команди и инструмената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даљинско управљање опремом за кормиларење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СТАНДАРД S2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додатна опрема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прамчани поривни уређај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електрохидрауличка витла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bl>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НАПОМЕНА: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Правила се не примењују 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погонске и помоћне моторе номиналне снаге веће од 560 kW који припадају следећим категоријама: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V1:1 до V1:3, који су до 31. децембра 2006.</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(2)V1:4 и од V2:1 до V2:5, који су до 31. децембра 2008. уграђени на пловило или на машине на броду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помоћне моторе номиналне снаге до 560 kW и променљиве брзине, који припадају следећим категоријама: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H који су до 31. децембра 2005.</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I и K који су до 31. децембра 2006.</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(3) J који су до 31. децембра 2007. уграђени на пловило или на машине на броду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3.помоћне моторе номиналне снаге до 560 kW и константне брзине, који припадају следећим категоријама: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D, E, F и G који су до 31. децембра 2006.</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H, I и K који су до 31. децембра 2010.</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(3) J који су до 31. децембра 2011. уграђени на пловило или на машине на броду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4. моторе који задовољавају граничне вредности и који су до 30. јуна 2007. уграђени на пловило или на машине на броду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Н.З.П све док:</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граничне и контролне вредности не прелазе вредности према 14а.02 више од фактора 2;</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бродски погони за пречишћавање отпадних вода имају произвођачко или експертско сведочанство којим се потврђује да могу поднети типична оптерећења када су инсталирани на броду;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систем одлагања отпадног муља је одговарајући за радне услове погона за обраду отпадних вода на путничким бродовима;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3* видети одредбе утврђене правилима за бродове искључене из области примене Директиве 82/714 ЕЕЗ: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очигледна опасност</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изузeв одредбе из Поглавља 19, члан 19.01, ст. 5. и 6.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видљивост према напред и према крми;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Н.З.П. за пловила изграђена пре 1. јануара 1985.;</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30. децембра 2049. за употребу специјалних спојних витала, или еквивалентних уређаја за извезивање састава;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6* Не примењује се на бродове баждарене према Конвенцији о баждарењу бродова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Женева (1966);</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Уз свако поглавље по потреби а обавезно за сваку неусаглашеност са техничким захтевима доставити као прилог фотографију.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ЗАКЉУЧАК:</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Пловило је способно/није способно** за пловидбу унутрашњим пловним путевима зоне 3/4/ Рајне** до:</w:t>
      </w:r>
    </w:p>
    <w:p w:rsid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Овлашћена лица Управе: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ПРИЛОГ 6.</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ПОСЕБНИ ТЕХНИЧКИ ЗАХТЕВИ ЗА БУНКЕР СТАНИЦЕ ЗА СНАБДЕВАЊЕ БРОДОВА ГОРИВОМ, ОДНОСНО ПЛУТАЈУЋЕ ОБЈЕКТЕ ЗА СНАБДЕВАЊЕ БРОДОВА ГОРИВОМ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Увод</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Овим прилогом прописују се технички захтеви које морају да испуне станице за снабдевање бродова горивом приликом постављања, изградње, реконструкције, адаптације, санације, опремања и рада током века употребе (у даљем тексту: бункер станице).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Постављање и употреба бункер понтонске станице, односно бункер станице за снабдевање са возила цистерне, не подлеже обавези добијања грађевинске, односно употребне дозволе у складу са законом којим се уређује планирање и изградња, већ издавању сведочанства које издаје Управа за утврђивање способности бродова за пловидбу после извршеног техничког надзора који обухвата проверу испуњености захтева у односу на противпожарну заштиту, заштиту животне средине, као и друге техничке захтеве за пловила у складу са прописом којим се уређују технички захтеви за статутарну сертификацију бродова унутрашње пловидбе (у даљем тексту: Техничка правила) и Европским споразумом о међународном транспорту опасног терета на унутрашњим пловним путевима (ADN) (у даљем тексту: ADN споразум), а којим се потврђује да објекат испуњава техничке захтеве за обављање послова бункер понтонскe станице, односно бункер станице за снабдевање са возила цистерне.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Постављање и употреба бункер стационарне станице и бункер плутајуће станице подлеже обавези добијања грађевинске, односно употребне дозволе.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Бункер станица за снабдевање бродова горивом мора да испуњава услове прописане ADN споразумом и прописом којим се уређују технички захтеви у погледу безбедности од пожара и експлозија станица за снабдевање бродова и техничких пловних објеката горивом.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Дефиниције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Поједини изрази који се користе у овом прилогу имају следеће значење:</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 </w:t>
      </w:r>
      <w:r w:rsidRPr="000241D5">
        <w:rPr>
          <w:rFonts w:ascii="Arial" w:eastAsia="Times New Roman" w:hAnsi="Arial" w:cs="Arial"/>
          <w:i/>
          <w:iCs/>
          <w:sz w:val="20"/>
          <w:szCs w:val="20"/>
          <w:lang w:val="sr-Latn-RS" w:eastAsia="sr-Latn-RS"/>
        </w:rPr>
        <w:t>брод</w:t>
      </w:r>
      <w:r w:rsidRPr="000241D5">
        <w:rPr>
          <w:rFonts w:ascii="Arial" w:eastAsia="Times New Roman" w:hAnsi="Arial" w:cs="Arial"/>
          <w:sz w:val="20"/>
          <w:szCs w:val="20"/>
          <w:lang w:val="sr-Latn-RS" w:eastAsia="sr-Latn-RS"/>
        </w:rPr>
        <w:t xml:space="preserve"> је брод унутрашње пловидбе и речно-морски брод, осим ратног брода;</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 </w:t>
      </w:r>
      <w:r w:rsidRPr="000241D5">
        <w:rPr>
          <w:rFonts w:ascii="Arial" w:eastAsia="Times New Roman" w:hAnsi="Arial" w:cs="Arial"/>
          <w:i/>
          <w:iCs/>
          <w:sz w:val="20"/>
          <w:szCs w:val="20"/>
          <w:lang w:val="sr-Latn-RS" w:eastAsia="sr-Latn-RS"/>
        </w:rPr>
        <w:t>брод за снабдевање</w:t>
      </w:r>
      <w:r w:rsidRPr="000241D5">
        <w:rPr>
          <w:rFonts w:ascii="Arial" w:eastAsia="Times New Roman" w:hAnsi="Arial" w:cs="Arial"/>
          <w:sz w:val="20"/>
          <w:szCs w:val="20"/>
          <w:lang w:val="sr-Latn-RS" w:eastAsia="sr-Latn-RS"/>
        </w:rPr>
        <w:t xml:space="preserve"> је танкер типа N, носивости до 300 t, који је конструисан и опремљен за превоз и пријем, односно испоруку производа намењених за рад бродова;</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3) </w:t>
      </w:r>
      <w:r w:rsidRPr="000241D5">
        <w:rPr>
          <w:rFonts w:ascii="Arial" w:eastAsia="Times New Roman" w:hAnsi="Arial" w:cs="Arial"/>
          <w:i/>
          <w:iCs/>
          <w:sz w:val="20"/>
          <w:szCs w:val="20"/>
          <w:lang w:val="sr-Latn-RS" w:eastAsia="sr-Latn-RS"/>
        </w:rPr>
        <w:t>брод унутрашње пловидбе</w:t>
      </w:r>
      <w:r w:rsidRPr="000241D5">
        <w:rPr>
          <w:rFonts w:ascii="Arial" w:eastAsia="Times New Roman" w:hAnsi="Arial" w:cs="Arial"/>
          <w:sz w:val="20"/>
          <w:szCs w:val="20"/>
          <w:lang w:val="sr-Latn-RS" w:eastAsia="sr-Latn-RS"/>
        </w:rPr>
        <w:t xml:space="preserve"> је брод регистрован за пловидбу на унутрашњим водама, чија дужина трупа износи најмање 20 m или чији је производ дужине, ширине и максималног газа једнак запремини од најмање 100 m³, као и тегљач и потискивач, без обзира на њихову дужину и запремину;</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4) </w:t>
      </w:r>
      <w:r w:rsidRPr="000241D5">
        <w:rPr>
          <w:rFonts w:ascii="Arial" w:eastAsia="Times New Roman" w:hAnsi="Arial" w:cs="Arial"/>
          <w:i/>
          <w:iCs/>
          <w:sz w:val="20"/>
          <w:szCs w:val="20"/>
          <w:lang w:val="sr-Latn-RS" w:eastAsia="sr-Latn-RS"/>
        </w:rPr>
        <w:t>бункер станица за снабдевање бродова горивом</w:t>
      </w:r>
      <w:r w:rsidRPr="000241D5">
        <w:rPr>
          <w:rFonts w:ascii="Arial" w:eastAsia="Times New Roman" w:hAnsi="Arial" w:cs="Arial"/>
          <w:sz w:val="20"/>
          <w:szCs w:val="20"/>
          <w:lang w:val="sr-Latn-RS" w:eastAsia="sr-Latn-RS"/>
        </w:rPr>
        <w:t xml:space="preserve"> је објекат лучке инфраструктуре, односно лучки терминал на којем се обавља снабдевање течним горивом бродова, који се састоји од објеката и инсталација на копну (у даљем тексту: бункер стационарна станица) или од плутајућег објекта за снабдевање бродова горивом са пратећом инсталацијом (у даљем тексту: бункер понтонска станица, односно бункер станица за снабдевање са возила цистерне) или од плутајућег објекта за снабдевање бродова горивом са пратећим објектима на копну, на којима су постављени снабдевачка јединица, припадајући танкови, цевовод са опремом, уређаји и инсталације, транспортна јединица, мерила и други одговарајући уређаји, опрема и инсталације за снабдевање бродова горивом и који чине техничко-технолошку целину (у даљем тексту: бункер плутајућа станица), за чији рад је потребно одобрење за обављање лучке делатности;</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5) </w:t>
      </w:r>
      <w:r w:rsidRPr="000241D5">
        <w:rPr>
          <w:rFonts w:ascii="Arial" w:eastAsia="Times New Roman" w:hAnsi="Arial" w:cs="Arial"/>
          <w:i/>
          <w:iCs/>
          <w:sz w:val="20"/>
          <w:szCs w:val="20"/>
          <w:lang w:val="sr-Latn-RS" w:eastAsia="sr-Latn-RS"/>
        </w:rPr>
        <w:t>возило цистерна</w:t>
      </w:r>
      <w:r w:rsidRPr="000241D5">
        <w:rPr>
          <w:rFonts w:ascii="Arial" w:eastAsia="Times New Roman" w:hAnsi="Arial" w:cs="Arial"/>
          <w:sz w:val="20"/>
          <w:szCs w:val="20"/>
          <w:lang w:val="sr-Latn-RS" w:eastAsia="sr-Latn-RS"/>
        </w:rPr>
        <w:t xml:space="preserve"> је возило са једним или више трајно причвршћених цистерни за транспорт горива које испуњава метролошке захтеве прописане за ауто-цистерне, односно вагон-цистерне. Састоји се, осим самог возила или возног постоља, од једног или више тела цистерни, њихових делова опреме и делова за спајање са возилом, или возним постољем;</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6) </w:t>
      </w:r>
      <w:r w:rsidRPr="000241D5">
        <w:rPr>
          <w:rFonts w:ascii="Arial" w:eastAsia="Times New Roman" w:hAnsi="Arial" w:cs="Arial"/>
          <w:i/>
          <w:iCs/>
          <w:sz w:val="20"/>
          <w:szCs w:val="20"/>
          <w:lang w:val="sr-Latn-RS" w:eastAsia="sr-Latn-RS"/>
        </w:rPr>
        <w:t>горива</w:t>
      </w:r>
      <w:r w:rsidRPr="000241D5">
        <w:rPr>
          <w:rFonts w:ascii="Arial" w:eastAsia="Times New Roman" w:hAnsi="Arial" w:cs="Arial"/>
          <w:sz w:val="20"/>
          <w:szCs w:val="20"/>
          <w:lang w:val="sr-Latn-RS" w:eastAsia="sr-Latn-RS"/>
        </w:rPr>
        <w:t xml:space="preserve"> су течна горива која користе бродови у складу са прописима о техничким и другим захтевима које морају да испуњавају течна горива;</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7) </w:t>
      </w:r>
      <w:r w:rsidRPr="000241D5">
        <w:rPr>
          <w:rFonts w:ascii="Arial" w:eastAsia="Times New Roman" w:hAnsi="Arial" w:cs="Arial"/>
          <w:i/>
          <w:iCs/>
          <w:sz w:val="20"/>
          <w:szCs w:val="20"/>
          <w:lang w:val="sr-Latn-RS" w:eastAsia="sr-Latn-RS"/>
        </w:rPr>
        <w:t>зона опасности од експлозије</w:t>
      </w:r>
      <w:r w:rsidRPr="000241D5">
        <w:rPr>
          <w:rFonts w:ascii="Arial" w:eastAsia="Times New Roman" w:hAnsi="Arial" w:cs="Arial"/>
          <w:sz w:val="20"/>
          <w:szCs w:val="20"/>
          <w:lang w:val="sr-Latn-RS" w:eastAsia="sr-Latn-RS"/>
        </w:rPr>
        <w:t xml:space="preserve"> је угрожени простор на бункер станици или око ње, делу бункер станице или простора где се налазе запаљиве течности и паре, у којем постоји вероватноћа да се појави експлозивна концентрација запаљивих и горивих гасова, пара, запаљивих и горивих течности или прашина;</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8) </w:t>
      </w:r>
      <w:r w:rsidRPr="000241D5">
        <w:rPr>
          <w:rFonts w:ascii="Arial" w:eastAsia="Times New Roman" w:hAnsi="Arial" w:cs="Arial"/>
          <w:i/>
          <w:iCs/>
          <w:sz w:val="20"/>
          <w:szCs w:val="20"/>
          <w:lang w:val="sr-Latn-RS" w:eastAsia="sr-Latn-RS"/>
        </w:rPr>
        <w:t>каљужна вода</w:t>
      </w:r>
      <w:r w:rsidRPr="000241D5">
        <w:rPr>
          <w:rFonts w:ascii="Arial" w:eastAsia="Times New Roman" w:hAnsi="Arial" w:cs="Arial"/>
          <w:sz w:val="20"/>
          <w:szCs w:val="20"/>
          <w:lang w:val="sr-Latn-RS" w:eastAsia="sr-Latn-RS"/>
        </w:rPr>
        <w:t xml:space="preserve"> је вода помешана са уљем исцурела из машинског простора, привремених брана и из простора дуплог трупа пловила;</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9) </w:t>
      </w:r>
      <w:r w:rsidRPr="000241D5">
        <w:rPr>
          <w:rFonts w:ascii="Arial" w:eastAsia="Times New Roman" w:hAnsi="Arial" w:cs="Arial"/>
          <w:i/>
          <w:iCs/>
          <w:sz w:val="20"/>
          <w:szCs w:val="20"/>
          <w:lang w:val="sr-Latn-RS" w:eastAsia="sr-Latn-RS"/>
        </w:rPr>
        <w:t>лука</w:t>
      </w:r>
      <w:r w:rsidRPr="000241D5">
        <w:rPr>
          <w:rFonts w:ascii="Arial" w:eastAsia="Times New Roman" w:hAnsi="Arial" w:cs="Arial"/>
          <w:sz w:val="20"/>
          <w:szCs w:val="20"/>
          <w:lang w:val="sr-Latn-RS" w:eastAsia="sr-Latn-RS"/>
        </w:rPr>
        <w:t xml:space="preserve"> је водни и са водом повезани простор који је изграђен и опремљен за пријем домаћих бродова и бродова стране заставе, њихово укрцавање и искрцавање, складиштење, дораду и оплемењивање робе, пријем и испоруку робе другим видовима транспорта (друмски, железнички, интермодални и цевоводни транспорт), укрцавање и искрцавање путника, као и за пружање других логистичких услуга потребних за развој привреде у залеђу луке. Лучки терминали, сидришта, као и делови водног пута који омогућавају обављање лучке делатности су саставни делови лука;</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10) </w:t>
      </w:r>
      <w:r w:rsidRPr="000241D5">
        <w:rPr>
          <w:rFonts w:ascii="Arial" w:eastAsia="Times New Roman" w:hAnsi="Arial" w:cs="Arial"/>
          <w:i/>
          <w:iCs/>
          <w:sz w:val="20"/>
          <w:szCs w:val="20"/>
          <w:lang w:val="sr-Latn-RS" w:eastAsia="sr-Latn-RS"/>
        </w:rPr>
        <w:t>манипулативне површине</w:t>
      </w:r>
      <w:r w:rsidRPr="000241D5">
        <w:rPr>
          <w:rFonts w:ascii="Arial" w:eastAsia="Times New Roman" w:hAnsi="Arial" w:cs="Arial"/>
          <w:sz w:val="20"/>
          <w:szCs w:val="20"/>
          <w:lang w:val="sr-Latn-RS" w:eastAsia="sr-Latn-RS"/>
        </w:rPr>
        <w:t xml:space="preserve"> су површине на којима се налазе мерила, снабдевачке и транспортне јединице и танкови и на којој раде или се задржавају запослени приликом манипулације и пуњења танка на бункер станици, као и танкова бродова горивом, обезбеђене одговарајућим цевоводом зауљених вода;</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11) </w:t>
      </w:r>
      <w:r w:rsidRPr="000241D5">
        <w:rPr>
          <w:rFonts w:ascii="Arial" w:eastAsia="Times New Roman" w:hAnsi="Arial" w:cs="Arial"/>
          <w:i/>
          <w:iCs/>
          <w:sz w:val="20"/>
          <w:szCs w:val="20"/>
          <w:lang w:val="sr-Latn-RS" w:eastAsia="sr-Latn-RS"/>
        </w:rPr>
        <w:t>мерни систем</w:t>
      </w:r>
      <w:r w:rsidRPr="000241D5">
        <w:rPr>
          <w:rFonts w:ascii="Arial" w:eastAsia="Times New Roman" w:hAnsi="Arial" w:cs="Arial"/>
          <w:sz w:val="20"/>
          <w:szCs w:val="20"/>
          <w:lang w:val="sr-Latn-RS" w:eastAsia="sr-Latn-RS"/>
        </w:rPr>
        <w:t xml:space="preserve"> је систем који мери испоручену количину горива и може бити непосредно снабдевен јединицама за израчунавање и приказивање вредности измерене количине вредности и за преношење вредности измерене количине на даљину;</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12) </w:t>
      </w:r>
      <w:r w:rsidRPr="000241D5">
        <w:rPr>
          <w:rFonts w:ascii="Arial" w:eastAsia="Times New Roman" w:hAnsi="Arial" w:cs="Arial"/>
          <w:i/>
          <w:iCs/>
          <w:sz w:val="20"/>
          <w:szCs w:val="20"/>
          <w:lang w:val="sr-Latn-RS" w:eastAsia="sr-Latn-RS"/>
        </w:rPr>
        <w:t>опрема танка</w:t>
      </w:r>
      <w:r w:rsidRPr="000241D5">
        <w:rPr>
          <w:rFonts w:ascii="Arial" w:eastAsia="Times New Roman" w:hAnsi="Arial" w:cs="Arial"/>
          <w:sz w:val="20"/>
          <w:szCs w:val="20"/>
          <w:lang w:val="sr-Latn-RS" w:eastAsia="sr-Latn-RS"/>
        </w:rPr>
        <w:t xml:space="preserve"> је опрема која је непосредно уграђена у танк и на танк и која са танком чини функционалну целину;</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13) </w:t>
      </w:r>
      <w:r w:rsidRPr="000241D5">
        <w:rPr>
          <w:rFonts w:ascii="Arial" w:eastAsia="Times New Roman" w:hAnsi="Arial" w:cs="Arial"/>
          <w:i/>
          <w:iCs/>
          <w:sz w:val="20"/>
          <w:szCs w:val="20"/>
          <w:lang w:val="sr-Latn-RS" w:eastAsia="sr-Latn-RS"/>
        </w:rPr>
        <w:t>плутајући објекат за снабдевање бродова горивом</w:t>
      </w:r>
      <w:r w:rsidRPr="000241D5">
        <w:rPr>
          <w:rFonts w:ascii="Arial" w:eastAsia="Times New Roman" w:hAnsi="Arial" w:cs="Arial"/>
          <w:sz w:val="20"/>
          <w:szCs w:val="20"/>
          <w:lang w:val="sr-Latn-RS" w:eastAsia="sr-Latn-RS"/>
        </w:rPr>
        <w:t xml:space="preserve"> (у даљем тексту: понтон) је део лучке инфраструктуре и састоји се од пловила (понтон или брод који је променио намену у плутајући објекат) које је вођицама привезано на шипове дубоко утемељене у водно земљиште и за које Управа за утврђивање способности бродова за пловидбу (у даљем тексту: Управа) врши технички надзор над пловилом, а Дирекција за водне путеве издаје услове за израду, као и сагласност на пројекат за побијање шипова који обавезно садржи прорачун, односно испитивање опште стабилности конструкције на ветар, таласе, удар пловила и утицај леда, а на основу геодетског и геолошког елабората, као и хидрауличко-хидролошких и сеизмичких услова на датој локацији. Надлежно јавно водопривредно предузеће издаје водне услове у складу са законом којим се уређују воде, ван поступка обједињене процедуре;</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14) </w:t>
      </w:r>
      <w:r w:rsidRPr="000241D5">
        <w:rPr>
          <w:rFonts w:ascii="Arial" w:eastAsia="Times New Roman" w:hAnsi="Arial" w:cs="Arial"/>
          <w:i/>
          <w:iCs/>
          <w:sz w:val="20"/>
          <w:szCs w:val="20"/>
          <w:lang w:val="sr-Latn-RS" w:eastAsia="sr-Latn-RS"/>
        </w:rPr>
        <w:t>подручје деловања снабдевачке јединице</w:t>
      </w:r>
      <w:r w:rsidRPr="000241D5">
        <w:rPr>
          <w:rFonts w:ascii="Arial" w:eastAsia="Times New Roman" w:hAnsi="Arial" w:cs="Arial"/>
          <w:sz w:val="20"/>
          <w:szCs w:val="20"/>
          <w:lang w:val="sr-Latn-RS" w:eastAsia="sr-Latn-RS"/>
        </w:rPr>
        <w:t xml:space="preserve"> је простор који се формира покретањем прикључка са славином за истакање у свим правцима око тачке за који је фиксиран други крај потпуно размотаног црева;</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15) </w:t>
      </w:r>
      <w:r w:rsidRPr="000241D5">
        <w:rPr>
          <w:rFonts w:ascii="Arial" w:eastAsia="Times New Roman" w:hAnsi="Arial" w:cs="Arial"/>
          <w:i/>
          <w:iCs/>
          <w:sz w:val="20"/>
          <w:szCs w:val="20"/>
          <w:lang w:val="sr-Latn-RS" w:eastAsia="sr-Latn-RS"/>
        </w:rPr>
        <w:t>пречистач каљужних вода</w:t>
      </w:r>
      <w:r w:rsidRPr="000241D5">
        <w:rPr>
          <w:rFonts w:ascii="Arial" w:eastAsia="Times New Roman" w:hAnsi="Arial" w:cs="Arial"/>
          <w:sz w:val="20"/>
          <w:szCs w:val="20"/>
          <w:lang w:val="sr-Latn-RS" w:eastAsia="sr-Latn-RS"/>
        </w:rPr>
        <w:t xml:space="preserve"> је систем за пречишћавање каљужних вода које настају на манипулативној површини у случају разливања горива, уља и осталих нафтних деривата и у коме се одвајају уље, гориво и остали нафтни деривати од воде;</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16) </w:t>
      </w:r>
      <w:r w:rsidRPr="000241D5">
        <w:rPr>
          <w:rFonts w:ascii="Arial" w:eastAsia="Times New Roman" w:hAnsi="Arial" w:cs="Arial"/>
          <w:i/>
          <w:iCs/>
          <w:sz w:val="20"/>
          <w:szCs w:val="20"/>
          <w:lang w:val="sr-Latn-RS" w:eastAsia="sr-Latn-RS"/>
        </w:rPr>
        <w:t>сабирни танк</w:t>
      </w:r>
      <w:r w:rsidRPr="000241D5">
        <w:rPr>
          <w:rFonts w:ascii="Arial" w:eastAsia="Times New Roman" w:hAnsi="Arial" w:cs="Arial"/>
          <w:sz w:val="20"/>
          <w:szCs w:val="20"/>
          <w:lang w:val="sr-Latn-RS" w:eastAsia="sr-Latn-RS"/>
        </w:rPr>
        <w:t xml:space="preserve"> је танк на плутајућем објекту посебно грађен за сакупљање и чување необрађених течности које су загађене штетним материјама;</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17) </w:t>
      </w:r>
      <w:r w:rsidRPr="000241D5">
        <w:rPr>
          <w:rFonts w:ascii="Arial" w:eastAsia="Times New Roman" w:hAnsi="Arial" w:cs="Arial"/>
          <w:i/>
          <w:iCs/>
          <w:sz w:val="20"/>
          <w:szCs w:val="20"/>
          <w:lang w:val="sr-Latn-RS" w:eastAsia="sr-Latn-RS"/>
        </w:rPr>
        <w:t>санитарне отпадне воде</w:t>
      </w:r>
      <w:r w:rsidRPr="000241D5">
        <w:rPr>
          <w:rFonts w:ascii="Arial" w:eastAsia="Times New Roman" w:hAnsi="Arial" w:cs="Arial"/>
          <w:sz w:val="20"/>
          <w:szCs w:val="20"/>
          <w:lang w:val="sr-Latn-RS" w:eastAsia="sr-Latn-RS"/>
        </w:rPr>
        <w:t xml:space="preserve"> су воде из кухиње, трпезарије, купатила, клозета, перионица и друге од људи отпадне воде;</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18) </w:t>
      </w:r>
      <w:r w:rsidRPr="000241D5">
        <w:rPr>
          <w:rFonts w:ascii="Arial" w:eastAsia="Times New Roman" w:hAnsi="Arial" w:cs="Arial"/>
          <w:i/>
          <w:iCs/>
          <w:sz w:val="20"/>
          <w:szCs w:val="20"/>
          <w:lang w:val="sr-Latn-RS" w:eastAsia="sr-Latn-RS"/>
        </w:rPr>
        <w:t>саобраћајне површине бункер станице</w:t>
      </w:r>
      <w:r w:rsidRPr="000241D5">
        <w:rPr>
          <w:rFonts w:ascii="Arial" w:eastAsia="Times New Roman" w:hAnsi="Arial" w:cs="Arial"/>
          <w:sz w:val="20"/>
          <w:szCs w:val="20"/>
          <w:lang w:val="sr-Latn-RS" w:eastAsia="sr-Latn-RS"/>
        </w:rPr>
        <w:t xml:space="preserve"> су копнене и водне површине бункер станице предвиђене за кретање и заустављање бродова и возила цистерни;</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19) </w:t>
      </w:r>
      <w:r w:rsidRPr="000241D5">
        <w:rPr>
          <w:rFonts w:ascii="Arial" w:eastAsia="Times New Roman" w:hAnsi="Arial" w:cs="Arial"/>
          <w:i/>
          <w:iCs/>
          <w:sz w:val="20"/>
          <w:szCs w:val="20"/>
          <w:lang w:val="sr-Latn-RS" w:eastAsia="sr-Latn-RS"/>
        </w:rPr>
        <w:t>системи поврата пара</w:t>
      </w:r>
      <w:r w:rsidRPr="000241D5">
        <w:rPr>
          <w:rFonts w:ascii="Arial" w:eastAsia="Times New Roman" w:hAnsi="Arial" w:cs="Arial"/>
          <w:sz w:val="20"/>
          <w:szCs w:val="20"/>
          <w:lang w:val="sr-Latn-RS" w:eastAsia="sr-Latn-RS"/>
        </w:rPr>
        <w:t xml:space="preserve"> су затворени системи који омогућавају поврат пара у танк или неку другу одговарајућу посуду на станици при снабдевању бродова горивом, односно поврат пара у танк возила цистерне или брода при пуњењу горивом танка на бункер станици;</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20) </w:t>
      </w:r>
      <w:r w:rsidRPr="000241D5">
        <w:rPr>
          <w:rFonts w:ascii="Arial" w:eastAsia="Times New Roman" w:hAnsi="Arial" w:cs="Arial"/>
          <w:i/>
          <w:iCs/>
          <w:sz w:val="20"/>
          <w:szCs w:val="20"/>
          <w:lang w:val="sr-Latn-RS" w:eastAsia="sr-Latn-RS"/>
        </w:rPr>
        <w:t>складишни танк</w:t>
      </w:r>
      <w:r w:rsidRPr="000241D5">
        <w:rPr>
          <w:rFonts w:ascii="Arial" w:eastAsia="Times New Roman" w:hAnsi="Arial" w:cs="Arial"/>
          <w:sz w:val="20"/>
          <w:szCs w:val="20"/>
          <w:lang w:val="sr-Latn-RS" w:eastAsia="sr-Latn-RS"/>
        </w:rPr>
        <w:t xml:space="preserve"> је танк за гориво који припада бункер станици и у њему се складишти гориво за снабдевање бродова;</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21) </w:t>
      </w:r>
      <w:r w:rsidRPr="000241D5">
        <w:rPr>
          <w:rFonts w:ascii="Arial" w:eastAsia="Times New Roman" w:hAnsi="Arial" w:cs="Arial"/>
          <w:i/>
          <w:iCs/>
          <w:sz w:val="20"/>
          <w:szCs w:val="20"/>
          <w:lang w:val="sr-Latn-RS" w:eastAsia="sr-Latn-RS"/>
        </w:rPr>
        <w:t>снабдевачка јединица</w:t>
      </w:r>
      <w:r w:rsidRPr="000241D5">
        <w:rPr>
          <w:rFonts w:ascii="Arial" w:eastAsia="Times New Roman" w:hAnsi="Arial" w:cs="Arial"/>
          <w:sz w:val="20"/>
          <w:szCs w:val="20"/>
          <w:lang w:val="sr-Latn-RS" w:eastAsia="sr-Latn-RS"/>
        </w:rPr>
        <w:t xml:space="preserve"> је уређај који се састоји од прикључка са славином за истакање горива са цревом за истакање и направом за њихово учвршћење и одговарајућег уређаја за пуштање у погон и управљање системом за истакање;</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22) </w:t>
      </w:r>
      <w:r w:rsidRPr="000241D5">
        <w:rPr>
          <w:rFonts w:ascii="Arial" w:eastAsia="Times New Roman" w:hAnsi="Arial" w:cs="Arial"/>
          <w:i/>
          <w:iCs/>
          <w:sz w:val="20"/>
          <w:szCs w:val="20"/>
          <w:lang w:val="sr-Latn-RS" w:eastAsia="sr-Latn-RS"/>
        </w:rPr>
        <w:t>танк</w:t>
      </w:r>
      <w:r w:rsidRPr="000241D5">
        <w:rPr>
          <w:rFonts w:ascii="Arial" w:eastAsia="Times New Roman" w:hAnsi="Arial" w:cs="Arial"/>
          <w:sz w:val="20"/>
          <w:szCs w:val="20"/>
          <w:lang w:val="sr-Latn-RS" w:eastAsia="sr-Latn-RS"/>
        </w:rPr>
        <w:t xml:space="preserve"> је простор за смештај горива на бродовима изграђен у складу са прописима о градњи бродова и који испуњава метролошке захтеве прописане за танкове;</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23) </w:t>
      </w:r>
      <w:r w:rsidRPr="000241D5">
        <w:rPr>
          <w:rFonts w:ascii="Arial" w:eastAsia="Times New Roman" w:hAnsi="Arial" w:cs="Arial"/>
          <w:i/>
          <w:iCs/>
          <w:sz w:val="20"/>
          <w:szCs w:val="20"/>
          <w:lang w:val="sr-Latn-RS" w:eastAsia="sr-Latn-RS"/>
        </w:rPr>
        <w:t>танкер</w:t>
      </w:r>
      <w:r w:rsidRPr="000241D5">
        <w:rPr>
          <w:rFonts w:ascii="Arial" w:eastAsia="Times New Roman" w:hAnsi="Arial" w:cs="Arial"/>
          <w:sz w:val="20"/>
          <w:szCs w:val="20"/>
          <w:lang w:val="sr-Latn-RS" w:eastAsia="sr-Latn-RS"/>
        </w:rPr>
        <w:t xml:space="preserve"> је брод регистрован за превоз терета у течном стању;</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24) </w:t>
      </w:r>
      <w:r w:rsidRPr="000241D5">
        <w:rPr>
          <w:rFonts w:ascii="Arial" w:eastAsia="Times New Roman" w:hAnsi="Arial" w:cs="Arial"/>
          <w:i/>
          <w:iCs/>
          <w:sz w:val="20"/>
          <w:szCs w:val="20"/>
          <w:lang w:val="sr-Latn-RS" w:eastAsia="sr-Latn-RS"/>
        </w:rPr>
        <w:t>транспортна јединица</w:t>
      </w:r>
      <w:r w:rsidRPr="000241D5">
        <w:rPr>
          <w:rFonts w:ascii="Arial" w:eastAsia="Times New Roman" w:hAnsi="Arial" w:cs="Arial"/>
          <w:sz w:val="20"/>
          <w:szCs w:val="20"/>
          <w:lang w:val="sr-Latn-RS" w:eastAsia="sr-Latn-RS"/>
        </w:rPr>
        <w:t xml:space="preserve"> је склоп који се састоји од пумпе, погонског мотора, додатних уређаја и цевовода и снабдева горивом једну или више снабдевачких јединица и мерила;</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25) </w:t>
      </w:r>
      <w:r w:rsidRPr="000241D5">
        <w:rPr>
          <w:rFonts w:ascii="Arial" w:eastAsia="Times New Roman" w:hAnsi="Arial" w:cs="Arial"/>
          <w:i/>
          <w:iCs/>
          <w:sz w:val="20"/>
          <w:szCs w:val="20"/>
          <w:lang w:val="sr-Latn-RS" w:eastAsia="sr-Latn-RS"/>
        </w:rPr>
        <w:t>уређај за контролу цурења танкова</w:t>
      </w:r>
      <w:r w:rsidRPr="000241D5">
        <w:rPr>
          <w:rFonts w:ascii="Arial" w:eastAsia="Times New Roman" w:hAnsi="Arial" w:cs="Arial"/>
          <w:sz w:val="20"/>
          <w:szCs w:val="20"/>
          <w:lang w:val="sr-Latn-RS" w:eastAsia="sr-Latn-RS"/>
        </w:rPr>
        <w:t xml:space="preserve"> је уређај помоћу кога се поуздано може утврдити да је дошло до цурења из танка или у танк и који показује акцидентну ситуацију;</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26) </w:t>
      </w:r>
      <w:r w:rsidRPr="000241D5">
        <w:rPr>
          <w:rFonts w:ascii="Arial" w:eastAsia="Times New Roman" w:hAnsi="Arial" w:cs="Arial"/>
          <w:i/>
          <w:iCs/>
          <w:sz w:val="20"/>
          <w:szCs w:val="20"/>
          <w:lang w:val="sr-Latn-RS" w:eastAsia="sr-Latn-RS"/>
        </w:rPr>
        <w:t>уређај за осигурање од препуњавања танка</w:t>
      </w:r>
      <w:r w:rsidRPr="000241D5">
        <w:rPr>
          <w:rFonts w:ascii="Arial" w:eastAsia="Times New Roman" w:hAnsi="Arial" w:cs="Arial"/>
          <w:sz w:val="20"/>
          <w:szCs w:val="20"/>
          <w:lang w:val="sr-Latn-RS" w:eastAsia="sr-Latn-RS"/>
        </w:rPr>
        <w:t xml:space="preserve"> је уређај који осигурава несметан проток горива до нивоа који одговара 95% запремине танка и потпуно затвара доток горива код нивоа који одговара 98% запремине танка;</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27) </w:t>
      </w:r>
      <w:r w:rsidRPr="000241D5">
        <w:rPr>
          <w:rFonts w:ascii="Arial" w:eastAsia="Times New Roman" w:hAnsi="Arial" w:cs="Arial"/>
          <w:i/>
          <w:iCs/>
          <w:sz w:val="20"/>
          <w:szCs w:val="20"/>
          <w:lang w:val="sr-Latn-RS" w:eastAsia="sr-Latn-RS"/>
        </w:rPr>
        <w:t>уређај за точење</w:t>
      </w:r>
      <w:r w:rsidRPr="000241D5">
        <w:rPr>
          <w:rFonts w:ascii="Arial" w:eastAsia="Times New Roman" w:hAnsi="Arial" w:cs="Arial"/>
          <w:sz w:val="20"/>
          <w:szCs w:val="20"/>
          <w:lang w:val="sr-Latn-RS" w:eastAsia="sr-Latn-RS"/>
        </w:rPr>
        <w:t xml:space="preserve"> је мерни систем за допуну/пуњење горивом бродова који садржи снабдевачку и транспортну јединицу, мерило и друге елементе, опрему и инсталације који се налазе у једном кућишту и служе за снабдевање бродова горивом;</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28) </w:t>
      </w:r>
      <w:r w:rsidRPr="000241D5">
        <w:rPr>
          <w:rFonts w:ascii="Arial" w:eastAsia="Times New Roman" w:hAnsi="Arial" w:cs="Arial"/>
          <w:i/>
          <w:iCs/>
          <w:sz w:val="20"/>
          <w:szCs w:val="20"/>
          <w:lang w:val="sr-Latn-RS" w:eastAsia="sr-Latn-RS"/>
        </w:rPr>
        <w:t>уређај за уземљење</w:t>
      </w:r>
      <w:r w:rsidRPr="000241D5">
        <w:rPr>
          <w:rFonts w:ascii="Arial" w:eastAsia="Times New Roman" w:hAnsi="Arial" w:cs="Arial"/>
          <w:sz w:val="20"/>
          <w:szCs w:val="20"/>
          <w:lang w:val="sr-Latn-RS" w:eastAsia="sr-Latn-RS"/>
        </w:rPr>
        <w:t xml:space="preserve"> је уређај фиксно повезан на заједничко уземљење станице, који омогућава пражњење статичког електрицитета за време пуњења танкова на бункер станици и танкова бродова горивом и осигурава изједначен електрични потенцијал за све време претакања горива и испуњава захтеве у погледу зона опасности.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Општи захтеви за бункер станице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Бункер станица за снабдевање бродова горивом може бити искључиво на одобреној лучкој локацији која испуњава захтеве прописа за постављање плутајућег објекта за снабдевање бродова горивом 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безбедности од пожара и експлозија;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способности за употребу/плутање у привредне сврхе;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спречавању загађења 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побијању шипова у водно земљиште;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водним условима.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Елементи бункер станица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Бункер станица обухвата следеће елементе: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подручје деловања снабдевачке јединице за истакање односно прикључка са славином за истакање укључујући целокупан простор дохвата;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уређаји за пуњење складишних танкова и испоруку горива;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понтон са припадајућом опремом и везом са копном;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инсталације за одвођење статичког електрицитета;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уређаји, инсталације и системи за заштиту од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простори објеката на којима су смештени мерило и транспортна јединица;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танкове за складиштење горива са припадајућом опремом;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подручје деловања посебних сервисних уређаја и/или танкова за коришћено уље;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 саобраћајне површине за возила цистерне и бродове који снабдевају станицу горивом;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10) објекат на копну за смештај запослених и помоћне просторије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надстрешнице;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 просторију за смештај уређаја и инсталација система за заштиту од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12) саобраћајну и рекламну електричну сигнализацију;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 расвету станице.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Зоне опасности од експлозије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5.1 Дефиниције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Зона 0 је подручје у којем је непрекидно, у дужим временским интервалима или често присутна експлозивна атмосфера која се састоји од смеше запаљивих супстанци и ваздуха у облику гаса, паре или магле.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Зона 1 је подручје у којем повремено може доћи до појаве експлозивне атмосфере која се састоји од смеше запаљивих супстанци и ваздуха у облику гаса, паре или магле.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Зона 2 је подручје у којем у нормалним условима не може доћи до појаве експлозивне атмосфере која се састоји од смеше запаљивих супстанци и ваздуха у облику гаса, паре или магле, али ако до ње дође трајаће само кратко време.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5.2 Еквивалентност</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5.2.1 Зоне опасности од експлозије су истоветне зонама опасности од избијања пожара прописаним у Правилнику о техничким нормативима за безбедност од пожара и експлозија постројења и објеката за запаљиве и гориве течности и о ускладиштавању и претакању запаљивих и горивих течности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Службени гласник РС</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број 114/17) (у даљем тексту: Правилник о техничким нормативима за безбедност од пожара и експлозија), и то: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Зона опасности 0 (зона највеће опасности) је истоветна зони опасности од избијања пожара I;</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Зона опасности 1 (зона повећане опасности) је истоветна зони опасности од избијања пожара II;</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Зона опасности 2 (зона опасности) је истоветна зони опасности од избијања пожара III.</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5.2.2 Aкo је на станици уграђен систем за поврат пара онда се зоне опасности од експлозије могу одредити на основу одговарајућег српског стандарда којим се описује методологија за одређивање зона опасности од експлозије.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6. Системи за спречавање загађивања вода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 Дефиниције и тумачења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6.1.1 Испуштање је свако испуштање са објекта штетних материја или отпадних вода, које садрже такве штетне материје, без обзира на разлоге који су довели до испуштања, које обухвата свако истицање, цурење, одстрањивање, просипање, протицање, испумпавање, избацивање или пражњење.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6.1.2 Штетна материја је свака материја која при уласку у воду може угрозити здравље људи, нанети штете живим ресурсима, флори и фауни, погоршати услове за рекреацију и одмор или ометати коришћење вода у друге сврхе.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6.1.3 Течно гориво је сваки продукт нафте (земног уља) који се као гориво користи код енергетског уређаја објекта, на коме се то гориво налази.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6.1.4 Нафта је нафта (земно уље) у било којем облику, укључујући сирову, течно гориво, остатке нафте, талог нафте и деривате нафте.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6.1.5 Смеша нафте је течност која садржи било који проценат нафте.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6.1.6 Остаци нафте су остаци који садрже нафту.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6.1.7 Сирова нафта је земно уље, свака течна смеса угљоводоника која се у природном стању налази испод површине земље, без обзира да ли је она због лакшег транспорта обрађена или не а која садржи: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сирову нафту из које се могу одстрањивати неки дестилати;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сирову нафту у коју се могу додати неки дестилати.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 Талог нафте је део нафте који се због своје конзистенције (густине) не може нормално пумпати и обрађивати па због тога захтева посебан пријем или начин за одстрањивање са објекта.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6.1.9 Опрема за филтрирање су филтери или било која друга комбинација сепаратора и филтера чија конструкција омогућује да СЗН (степен загађености нафтом) у отпадним водама не прелази 15 делова/милион (15 ppm).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6.1.10 Отпадне воде (фекалне воде) су: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воде и други отпаци из свих врста тоалета, писоара и клозетских шоља: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вода из умиваоника, када и сливника који се налазе у медицинским просторијама (амбуланти, болници, итд.);</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воде из просторија у којима се налазе животиње;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остале воде уколико се мешају са већ наведеним отпадним водама.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6.1.11 Воде из домаћинских просторија су: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воде из умиваоника, тушева, када и сливника: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воде из перионица;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воде из кухиње, и других просторија прехрамбеног блока.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6.1.12 Уређај за прераду отпадних вода је уређај у коме се отпадне воде пречишћавају и дезинфикују.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6.1.13 Сабирни танк је танк посебно грађен за сакупљање и чување необрађених течности које су загађене штетним материјама.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6.1.14 Смеће су све врсте отпадака у вези са исхраном, животом и експлoатацијом (осим свеже рибе и њених отпадака) које се образују у току нормалне експлоатације објекта и стално или повремено одстрањују.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6.1.15 Уређај за паљење смећа (спаљивач смећа) је уређај за смањење запремине и масе смећа путем паљења.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6.1.16 Уређај за сакупљање смећа (сакупљач смећа) су танкови, уређаји за сакупљање и чување смећа.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6.2 Обим надзора над градњом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6.2.1 Технички надзор надлежног органа на спречавању загађивања вода са бункер понтонске станице и бункер плутајуће станице обухвата: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разматрање и одобрење техничке документације у делу који се тиче спречавања загађивања.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надзор над израдом и монтажом на објекту: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уређаја за филтрирање;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уређаја који сигнализира да се испушта течност са СЗН већи од 15 ppm;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уређаја за обраду отпадних 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система пумпања, предаје и сакупљања зауљених или отпадних вода, укључујући сабирне танкове и стандардне спојеве;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уређаје за паљење смећа (спаљивач смећа);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система горива;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система уља;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система цевовода на понтонским и плутајућим станицама;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 уређаја за сакупљање смећа (сакупљач смећа).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6.2.2 Испитивање опреме, уређаја и система који су израђени и/или монтирани на објекту под надзором надлежног органа.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6.3 Техничка документација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 израде опреме, уређаја, елемената система и инструмената надлежном органу се доставља на одобрење техничка документација: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6.3.1 Уређај за филтрирање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технички опис и принцип рада филтера;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склопни цртеж са потребним пресецима (конструкција филтера, главне димензије, употребљени материјал и облоге);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цртеж монтаже пумпи и других уређаја који улазе у састав уређаја за филтрирање;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цртежи заварених спојева (кућишта, темељних оквира и других делова) са подацима о заваривању;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шема за послуживање система у подручју уређаја за филтрирање;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принципијелна електрична шема опреме, шема управљања, регулисања, контроле, сигнализације и заштите;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програм испитивања прототипа и серијских производа;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списак важних делова са механичким особинама материјала и величинама пробног хидрауличког притиска.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6.3.2 Уређај који сигнализира да је испуштено више од 15 ppm: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опис принципа рада са техничким параметрима, упутство за рад и послуживање, подаци о сигурности (оверава се виђено);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склопни цртеж;</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спецификација материјала и производа;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принципијелна и функционална шема;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програм испитивања прототипа и серијских узорака;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6.3.3 Уређај за прераду отпадних 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технички опис и принцип рада;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склопни цртеж са потребним пресецима (конструкција главне димензије, материјал и облоге);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принципијелна електрична шема;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шема управљања, регулације, контроле, сигнализације и заштите;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програм испитивања прототипа и серијског узорка.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6.3.4 Систем за пуњење, предају и испуштање зауљених или отпадних вода, укључујући сабирне танкове и стандарде изливене спојеве: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принципијелна шема система;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цртежи монтаже сабирних танкова са подацима о њиховом капацитету и начелне шеме сигнализације нивоа течности, те прорачуни капацитета танка;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цртежи изливног споја са материјалом и пробним притиском.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6.3.5 Уређаји за паљење смећа: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технички опис и принцип рада;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склопни цртеж са потребним пресецима (конструкција, главне димензије, материјал, облоге);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цртежи бризгаљки;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цртежи уређаја за пуњење;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шема горива у подручју уређаја;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принципијелна електрична шема;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шема управљања, регулације, контроле, сигнализације и заштите;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програм испитивања прототипа и серијских узорака.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6.3.6 Уређаји за сакупљање смећа (скидљиви):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технички опис;</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склопни цртеж са потребним пресецима (конструкција, главне димензије, материјали и облоге);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програм испитивања прототипа (ако је он потребан).</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6.4 Уградња сертификоване опреме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Изузетно, пре почетка градње објекта, надлежном органу се могу доставити на увид и признање исправе о усаглашености опреме издате од стране признатих класификационих друштава у области унутрашње пловидбе или исправе акредитованих произвођача и испитних институција о испитивањима прототипова опреме као и техничка документација о монтажи те опреме и уређаја на објекту.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6.5 Прегледи и испитивања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 табели 6.5-1 је дат програм испитивања компоненти система.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Табела 6.5-1</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20"/>
        <w:gridCol w:w="6321"/>
        <w:gridCol w:w="2148"/>
        <w:gridCol w:w="2152"/>
      </w:tblGrid>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Предмет прегледа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Основни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Редовни</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w:t>
            </w:r>
          </w:p>
        </w:tc>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 за спречавање загађења нафтом</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Сабирни танкови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VH</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Системи за пумпање,спој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VMHPC</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горива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VH</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уља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VH</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цевовода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VH</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за причвршћивање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VMPC</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SP</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Сигнални уређај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15 ppm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VMPC</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SPC</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w:t>
            </w:r>
          </w:p>
        </w:tc>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 за спречавање загађења отпадним водама</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Сабирни танкови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VH</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Системи за предају,спој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VH</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 за обраду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VMPC</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SPC</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за спречавање загађења смећем</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за спаљивање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VC</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за сакупљање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w:t>
            </w:r>
          </w:p>
        </w:tc>
      </w:tr>
    </w:tbl>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Ознаке у табели значе: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V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визуелни преглед уз осигурање приступа до сваког елемента, као и отварање или демонтажа;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S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спољашњи преглед;</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М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мерење истрошености, отпора изолације и сл.;</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H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хидрауличка или пнеуматска испитивања;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P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провера рада машина, уређаја и њихов спољашњи преглед;</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С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провера важећих исправа и/или жигова да би се утврдило да ли су контролни инструменти прегледани од признатих испитних институција, уколико такве провере треба вршити.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Хидрауличка испитивања и мерење отпора изолације се врше на сваких осам година. У оправданим случајевима надлежни орган може одложити периодичан преглед највише 6 месеци, на тражење власника или корисника. Одложен преглед замењује се ванредним прегледом чији обим одређује надлежни орган. Одлагање периодичног прегледа не мора аутоматски да повлачи и одлагање следећег периодичног прегледа.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6.6 Општи захтеви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6.6.1 Свакa плутајућа и понтонска станица 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сабирни танк за сакупљање зауљених 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танк сепаратора каљуже или каљужни танк;</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стандардну прикључну прирубницу за предају зауљених вода у пријемне уређаје;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систем пумпања и предаје зауљених 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6.6.2 Препоручује се да свакa плутајућа и понтонска станица 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уређај за филтрирање;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уређај којим се даје упозорење да количина нафте у води не прелази 15 ppm;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уређај за аутоматски прекид испуштања;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систем испуштања;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6.6.3 Танкови терета и горива се не користе као танкови баласта.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6.6.4 Системи снабдевања горивом, уљем и другим производима нафте, као и системи цевовода терета на плутајућим и понтонским станица, са становишта спречавања загађивања због цурења и преливања предмет су разматрања надлежног органа.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6.6.5 На сваком објекту, у непосредној близини места, одакле се врши снабдевање горивом, или у машинском простору, на видном месту, поставити шеме система горива и уља уз приказивање распореда танкова, одушних, преливних и мерних цеви.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6.6.6 Управа може затражити да на плутајућим и понтонским постоје шеме система терета, као и упутства за рад са теретом. Шеме и упутства постављати у непосредној близини места за пријем терета или на главном командном пулту, одакле се управља теретом. У шемама постоје подаци о смештају арматуре, танкова, као и распоред завршетка одушника, преливних и мерних цеви.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6.7 Сабирни танкови за гориво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6.7.1 Капацитет сабирних танкова за гориво је у складу са режимом експлоатације. Одређивање запремине танкова представља предмет разматрања надлежног органа.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6.7.2 Конструкција сабирног танка је у складу са захтевима за труп ових правила.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6.7.3 Сабирни танк, који је постављен на месту изложеном деловању температура испод 0 °C, као и сабирни танк за тешко гориво, имају могућност загревања.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6.7.4 Сабирни танкови имају: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провлаку ради уласка и чишћења;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одушник;</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уређај који даје светлосни и звучни сигнал у контролној соби за случај кад је постигнут ниво од 80% нивоа танка.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6.7.5 Унутрашње површине танкова и вертикални зидови сабирних танкова који се користе за сакупљање сепарационих остатака нафте, су глатке (имају спољашње укрућење) и дно је нагнуто према одводном цевоводу.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6.7.6 Уређаји за грејање, ако постоје, су у складу са захтевима за системе и цевоводе ових правила.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6.8 Системи пумпања, предаје и испуштања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6.8.1 Постављање система, распоред цеововода за пумпање, предају и испуштање зауљене воде је у складу са захтевима за системе цевовода ових правила.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6.8.2 Хидраулична испитивања арматуре и цевовода од система пумпања, предаје и испуштања зауљених вода су у складу са захтевима за системе цевовода ових правила.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6.8.3 Цевоводи система за предају зауљених вода у пријемне уређаје не спајају се с другим цевоводима који спадају у друге системе и имају излаз на оба бока. У оправданим случајевима Управа може дозволити да тај цевовод има излаз само на један бок. Излазни прикључци ових цевовода се постављају на местима која су погодна за прикључивање гумених црева, и имају стандардне изливне спојеве са прирубницом која одговара слици 6.8.3-1 као и одговарајући натпис. Изливне прирубнице прикључака су слепе. На боку, на месту изласка прикључака, предузимају се мере за спречавање загађења воде, уколико дође до испуштања течности услед одвајања гуменог црева.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Слика 6.8.3-1</w:t>
      </w:r>
    </w:p>
    <w:p w:rsidR="000241D5" w:rsidRPr="000241D5" w:rsidRDefault="000241D5" w:rsidP="000241D5">
      <w:pPr>
        <w:widowControl/>
        <w:autoSpaceDE/>
        <w:autoSpaceDN/>
        <w:rPr>
          <w:rFonts w:ascii="Arial" w:eastAsia="Times New Roman" w:hAnsi="Arial" w:cs="Arial"/>
          <w:sz w:val="20"/>
          <w:szCs w:val="20"/>
          <w:lang w:val="sr-Latn-RS" w:eastAsia="sr-Latn-RS"/>
        </w:rPr>
      </w:pPr>
      <w:r w:rsidRPr="000241D5">
        <w:rPr>
          <w:rFonts w:ascii="Arial" w:eastAsia="Times New Roman" w:hAnsi="Arial" w:cs="Arial"/>
          <w:noProof/>
          <w:sz w:val="20"/>
          <w:szCs w:val="20"/>
          <w:lang w:val="sr-Latn-RS" w:eastAsia="sr-Latn-RS"/>
        </w:rPr>
        <w:drawing>
          <wp:inline distT="0" distB="0" distL="0" distR="0">
            <wp:extent cx="2980690" cy="3348990"/>
            <wp:effectExtent l="0" t="0" r="0" b="0"/>
            <wp:docPr id="52" name="Picture 52" descr="https://www.pravno-informacioni-sistem.rs/SlGlasnikPortal/slike/pravilnik-brodovi_Page_1.png&amp;doctype=reg&amp;abc=cba&amp;eli=true&amp;eliActId=435669&amp;regactid=43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ravno-informacioni-sistem.rs/SlGlasnikPortal/slike/pravilnik-brodovi_Page_1.png&amp;doctype=reg&amp;abc=cba&amp;eli=true&amp;eliActId=435669&amp;regactid=4356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0690" cy="3348990"/>
                    </a:xfrm>
                    <a:prstGeom prst="rect">
                      <a:avLst/>
                    </a:prstGeom>
                    <a:noFill/>
                    <a:ln>
                      <a:noFill/>
                    </a:ln>
                  </pic:spPr>
                </pic:pic>
              </a:graphicData>
            </a:graphic>
          </wp:inline>
        </w:drawing>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Напомена: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Прирубница је направљена за цеви са унутрашњим пречником до D = 125 mm. Израђује се од челика или другог одговарајућег материјала са равном предњом површином. Прирубница заједно са одговарајућом заптивком, отпорном на нафту и уље, издржава притисак од 0,6 MPa. Спајање се врши помоћу 6 завртњева, пречника 20 mm.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6.8.4 Систем предаје зауљене воде послужују пумпе. Пумпе друге намене или обалске пумпе уз сагласност Надлежног органа могу се користити за испумпавање. Пуштање у рад и заустављање средстава за испумпавање се обавља ручно. У простору излазних прикључака постоји место управљања за даљинско искључивање средстава за испумпавање или постоји добра веза између места посматрања и места где се контролише испуштање.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6.9 Уређаји за филтрирање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6.9.1 Уређаји за филтрирање осигуравају концентрацију зауљене смесе на излазу која не прелази 15 ppm без обзира на садржај нафте у смеси која се доводи у уређај.</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6.9.2 Конструкција уређаја за филтрирање је таква да омогућује сигуран рад при нагибу од 22,5° у односу на радни положај.</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6.9.3 Предвиђена је могућност сушења уређаја за филтрирање.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6.9.4 Ако је уређај за филтрирање конструисан за аутоматски режим рада, тада се предвиђа могућност и ручног управљања уређајем.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6.9.5 Уређај за филтрирање је опремљен са прибором за контролу притиска, температуре и нивоа, као и заштитном хаваријском сигнализацијом.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6.9.6 На вертикалним деловима цевовода уласка зауљене воде и испуштања пречишћене воде из уређаја за филтрирање је предвиђен прикључак за узимање узорака.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6.9.7 Уређај за филтрирање одобрен од признатог класификационог друштва у сврху уградње од стране признатог произвођача а који омогућава постизање концентрације зауљене воде на излазу не више од 15 ppm сматра се да је идентичан уређају који је направљен према захтевима ових правила.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6.10 Уређај којим се упозорава да је испуштено више 15 ppm нафте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6.10.1 Уређај који сигнализира да садржај нафте при испуштању прелази 15 ppm је такав да омогућује давање сигнала за прекид испуштања, када садржај нафте при испуштању пређе дозвољену количину од 15 ppm.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6.10.2 Уређај даје сигнал са тачношћу од + 5 ppm.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6.10.3 Уређај садржи у себи прибор за сигнализацију престанка испуштања, даје светлосни и звучни аларм о испуштању веће количине нафте од дозвољене уз могућност истовременог давања команде за аутоматски прекид испуштања. Сигнални уређај се аутоматски активира када дође до било каквог поремећаја у раду прибора који упозорава да је испуштено више од 15 ppm. Светлосни и звучни сигнали долазе до места где се врши служба.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6.10.4 Електрична и електронска сигнализација, средства управљања и контроле прибора којим се упозорава да је испуштено више од 15 ppm, су погодни за дуготрајан рад у условима вибрација са фреквенцијом од 2</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13,2 Hz при амплитуди померања од +1 mm и са фреквенцијом од 13,2</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80 Hz са амплитудом убрзања од + 0,7 g.</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6.10.5 Уређај којим се упозорава да је испуштено више од 15 ppm исправно ради при бочном љуљању од 15° на било коју страну нормалног радног положаја.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6.10.6 Цевовод за узимање узорака (проба) се поставља на вертикалним деловима изливеног цевовода. Уређај за узимање узорака омогућава потпуни склад између узетог узрока и течности која се испушта.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6.11 Уређај за аутоматски прекид испуштања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6.11.1 Уређај за аутоматски прекид испуштања прекида испуштање запрљане воде са више од 15 ppm нафте на основу сигнала који даје уређај из 13.11.</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6.11.2 Прекид испуштања може се постићи заустављањем пумпе, затварањем изливног вентила или активирањем повратног цевовода у сабирни танк.</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6.12 Општи захтеви за уређаје за спречавање загађења отпадним водама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6.12.1 Бункер понтонске станице и бункер плутајуће станице капацитета више од шест лица имају сабирне танкове за сакупљање отпадних вода уз каснију предају у пријемне уређаје, стандардне изливне спојеве који омогућују ту предају, а могу имати и уграђен уређај за прераду отпадних 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6.13 Сабирни танкови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6.13.1 Број и капацитет сабирних танкова одговара режиму експлоатације и капацитету објекта. Сваки танк има капацитет не мањи од 1 m</w:t>
      </w:r>
      <w:r w:rsidRPr="000241D5">
        <w:rPr>
          <w:rFonts w:ascii="Arial" w:eastAsia="Times New Roman" w:hAnsi="Arial" w:cs="Arial"/>
          <w:sz w:val="15"/>
          <w:szCs w:val="15"/>
          <w:vertAlign w:val="superscript"/>
          <w:lang w:val="sr-Latn-RS" w:eastAsia="sr-Latn-RS"/>
        </w:rPr>
        <w:t>3</w:t>
      </w:r>
      <w:r w:rsidRPr="000241D5">
        <w:rPr>
          <w:rFonts w:ascii="Arial" w:eastAsia="Times New Roman" w:hAnsi="Arial" w:cs="Arial"/>
          <w:sz w:val="20"/>
          <w:szCs w:val="20"/>
          <w:lang w:val="sr-Latn-RS" w:eastAsia="sr-Latn-RS"/>
        </w:rPr>
        <w:t xml:space="preserve">.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6.13.2 Сабирни танкови имају глатке унутрашње површине (спољашње укрућење) а дна су им нагнута према одводном цевоводу. На постојећим објектима могу се користити структурни танкови, уколико су помоћу кофердама одвојени од танка питке воде, санитарне воде, као и стамбених, службених и теретних простора.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6.13.3 Сабирне танкове испитати пробним притиском који није мањи од 1 bar.</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6.13.4 Сабирни танкови имају: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провлаку ради уласка и чишћења;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систем за ситњење талога (иситњивачи);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систем за прање;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одушник;</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уређај који даје светлосни и звучни сигнал у контролној соби када се постигне 80% нивоа у танку.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6.13.5 Као уситњивачи могу се користити механички уређаји или друга средства за уситњавање као што су вода, пара или ваздух под притиском.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6.13.6 Одушна цев сабирног танка отпадне воде се изводи на отворену палубу и она има такав завршетак да у стамбене просторије никако не може продрети загађен ваздух.</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6.13.7 Сабирни танк постављен на местима где су могуће температуре испод 0 °C има уређај за загревање.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6.14 Систем пумпања, предаје и испуштања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6.14.1 Постављање система и смештај цевовода за пумпање, предају или испуштање отпадних вода је у складу са захтевима за системе цевовода ових правила.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6.14.2 Хидрауличка испитивања арматуре, и цевовода система пумпања, предаје и испуштања отпадних вода су у складу са захтевима за системе цевовода ових правила.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6.14.3 Цевоводе система за одвод отпадних вода у пријемне уређаје не спајати са другим цевоводима који припадају другим системима предаје. Цевоводе извести на један бок или директно на обалски прикључак. Излазни прикључци тих цевовода се налазе на местима која су погодна за прикључивање гумених црева и имају стандардне изливне спојеве са прирубницама према слици 6.14-1 са одговарајућим натписом. Прирубнице на изливним прикључцима су слепе.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6.14.4 Систем за предају отпадних вода послужују обалне пумпе.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Слика 6.14-1</w:t>
      </w:r>
    </w:p>
    <w:p w:rsidR="000241D5" w:rsidRPr="000241D5" w:rsidRDefault="000241D5" w:rsidP="000241D5">
      <w:pPr>
        <w:widowControl/>
        <w:autoSpaceDE/>
        <w:autoSpaceDN/>
        <w:rPr>
          <w:rFonts w:ascii="Arial" w:eastAsia="Times New Roman" w:hAnsi="Arial" w:cs="Arial"/>
          <w:sz w:val="20"/>
          <w:szCs w:val="20"/>
          <w:lang w:val="sr-Latn-RS" w:eastAsia="sr-Latn-RS"/>
        </w:rPr>
      </w:pPr>
      <w:r w:rsidRPr="000241D5">
        <w:rPr>
          <w:rFonts w:ascii="Arial" w:eastAsia="Times New Roman" w:hAnsi="Arial" w:cs="Arial"/>
          <w:noProof/>
          <w:sz w:val="20"/>
          <w:szCs w:val="20"/>
          <w:lang w:val="sr-Latn-RS" w:eastAsia="sr-Latn-RS"/>
        </w:rPr>
        <w:drawing>
          <wp:inline distT="0" distB="0" distL="0" distR="0">
            <wp:extent cx="3134995" cy="4025900"/>
            <wp:effectExtent l="0" t="0" r="0" b="0"/>
            <wp:docPr id="51" name="Picture 51" descr="https://www.pravno-informacioni-sistem.rs/SlGlasnikPortal/slike/pravilnik-brodovi_Page_2.png&amp;doctype=reg&amp;abc=cba&amp;eli=true&amp;eliActId=435669&amp;regactid=43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ravno-informacioni-sistem.rs/SlGlasnikPortal/slike/pravilnik-brodovi_Page_2.png&amp;doctype=reg&amp;abc=cba&amp;eli=true&amp;eliActId=435669&amp;regactid=4356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4995" cy="4025900"/>
                    </a:xfrm>
                    <a:prstGeom prst="rect">
                      <a:avLst/>
                    </a:prstGeom>
                    <a:noFill/>
                    <a:ln>
                      <a:noFill/>
                    </a:ln>
                  </pic:spPr>
                </pic:pic>
              </a:graphicData>
            </a:graphic>
          </wp:inline>
        </w:drawing>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Напомена: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Прирубница је намењена за цеви са унутрашњим пречником до Dmax = 100 mm. Израђује се од челика или другог одговарајућег материјала са равном предњом површином. Прирубница заједно са одговарајућом заптивком издржава радни притисак од 0,6 MPa. Објекти висине бока мање од 5 m могу имати D =38 mm. Спајање се врши са 4 завртња потребне дужине пречника 16 mm.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6.14.5 Цевоводи система за одвод отпадних вода, укључујући и цев за предају отпадних вода су такви да се могу прати млаком водом, при том воду за прање одвести у било који пријемни уређај или натраг у сабирни танк на објекту.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6.15 Уређај за прераду отпадних 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6.15.1 Способност уређаја за обраду отпадних вода одговара дневној потрошњи воде по особи као и режиму експлоатације.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6.15.2 Уређаји за обраду отпадних вода и све припадајуће пумпе, цевоводи и арматура који долазе у додир са отпадним водама, су добро заштићени од медија који проводе.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6.15.3 Уређај за обраду отпадних вода осигурава степен чистоће који не прелази следеће величине: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 биохемијска потреба за кисеоником (Biochemical Oxygen Demand) BOD5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50 mg/l;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 измерене чврсте материје (при испитивању на копну)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50 mg/l;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3) коли индекс (Фекалне бактерије колиформне)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250/100 ml).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6.15.4 Ако се за дезинфекцију отпадних вода користи хлор, тада слободан хлор у води, која се одстрањује са објекта, не износи више од 5 mg/l воде.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6.15.5 Уређај за обраду отпадних вода се испитује код произвођача са пробним притиском који је за 50% већи од радног, а на објекту притиском који је једнак радном (испитивање непропусности после монтаже).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6.15.6 Уређај за обраду отпадних вода може се постављати у свакој просторији са вештачком исисном вентилацијом.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6.15.7 Потребно је предвидети ефикасно прање и дезинфекцију уређаја, цевовода и арматуре, који их послужују, како би се могли извршити радови у вези са ремонтом и надзором.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6.15.8 Уређај за обраду отпадних вода у складу са захтевима Дела XIVa Техничких правила сматра се погодним за уградњу на плутајуће објекте.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6.16 Општи захтеви за уређаје за спречавање загађивања смећем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6.16.1 Плутајући објекти имају уређаје за сакупљање смећа, а могу имати уређај за обраду смећа или уређај за спаљивање смећа.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6.17 Уређаји за сакупљање смећа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6.17.1 Уређаји за сакупљање смећа могу бити покретни или структурни.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6.17.2 Укупан капацитет уређаја за сакупљање смеће одговара капацитету лица на објекту с обзиром на режим експлоатације објекта.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6.17.3 Уређаји за сакупљање смећа који су уграђени у труп објекта су од челика. Унутрашње површине су глатке са косином дна најмање 30° према уређају за истовар. Отвори за истовар у доњем делу немају изданак, имају добро затвориве поклопце, са погоном који омогућује сигуран рад при отварању у свим условима експлоатације објекта.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6.17.4 Покретни уређаји за сакупљање смећа имају глатке унутрашње површине и једноставан начин причвршћивања на објекту.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6.17.5 Покретне уређаје за сакупљање смећа постављати на отвореној палуби или у просторијама које су изоловане од стамбених, прехрамбених и службених просторија и имају добру вентилацију.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6.17.6 Уређаји за сакупљање смећа имају поклопце који добро затварају отворе за пријем смећа.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6.17.7 Покретни уређаји за сакупљање смећа могу бити од пластике минималног капацитета 400 l. Препоручују се посебни уређаји за пластични, стаклени, папирни и остали отпад.</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 Уређај за спаљивање смећа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6.18.1 Уређаји за спаљивање смећа, осим оних који имају могућност појединачног пуњења, имају бункер за убацивање са запорним поклопцима који се блокирају тако да не може доћи до њиховог истовременог отварања. Ако постоје ограничења у погледу материјала који се убацује, на пример израђено уље, талог уља, итд. навести у таблици упозорења. Гротло за утовар смећа у уређај који нема бункер, има такво блокирање да не може доћи до његовог отварања: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при доводу ваздуха за сагоревање у ложиште;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када је температура у ложишту виша од температуре паљења пара горива која се на објекту користе.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6.18.2 Обезбеђена је директна и индиректна контрола процеса паљења.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6.18.3 Распрскивачи или други уређаји за довод горива имају конструкцију одобрену од надлежног органа или признатог класификационог друштва.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6.18.4 Распрскивачи имају блокирање које омогућује довод течног горива само у случају: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ако је распрскивач у радном положају;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ако ваздух за сагоревање долази у ложиште.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6.18.5 Довод течног горива и распрскивач има уређај за аутоматски прекид, ако се гориво при паљењу не упали у року од 5 s за случајеве када се: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прекине довод ваздуха у ложиште;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угаси пламен;</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прекине довод струје;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притисак горива падне испод дозвољеног радног притиска.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6.18.6 Распрскивач има могућност гашења са два места, од којих се једно налази изван просторије у којој се налази уређај за спаљивање смећа.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6.18.7 За чување остатака од сагоревања предвиђају се преносиве канте с поклопцима, које су добро причвршћени на објекту, тако да се не могу померати.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6.18.8 Систем горива и испуштање гасова код уређаја за спаљивање смећа је у складу са захтевима за системе цевовода ових правила.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6.18.9 Површине уређаја за спаљивање које се греју имају изолацију.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6.18.10 Ако за трајан рад није предвиђен посебан усисни вентилатор онда програмом управљања распрскивача са аутоматским паљењем се осигурава проветравање простора за сагоревање најмање 3 min. пре паљења и 3 min. после гашења пламена у уређају за спаљивање смећа.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6.18.11 Уређај за спаљивање смећа са аутоматским процесом сагоревања има заштиту и сигнализацију по параметрима који су наведени у табели 6.18.11-1.</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6.18.12 Уређаји за паљење смећа могу се налазити у машинском простору или у посебним просторијама. Ако се тај уређај налази у машинском простору он се одваја параванима од суседних машина, а његов смештај и причвршћење је у складу са захтевима ових правила.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6.18.13 Ако се уређај за паљење смећа поставља у посебној просторији, тада предвидети: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усисно-исисну вентилацију са довољним дотоком ваздуха за рад уређаја;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аутоматску сигнализацију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Табела 6.18.11-1</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20"/>
        <w:gridCol w:w="788"/>
        <w:gridCol w:w="750"/>
        <w:gridCol w:w="5483"/>
      </w:tblGrid>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Неисправност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Сигнал</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Аутом.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Напомена</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Висока температура издувних гасова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Висока температура у ложишту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Заустављање вентилатора за довод ваздуха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Заустављање исисног вентилатора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Ако постоји</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Висока температура тешког горива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Ниска температура тешког горива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Мењање реда сигнализације због вискозитета горива</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Низак притисак горива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Ако је добавна пумпа неопходна за нормалан рад</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Неуспело паљење или прек.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Сваки распрскивач има аутоматско искључење довода горива</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Прекид довода ваздуха за сагор. или нед.притисак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Аутоматско искључење довода горива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bl>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6.19 Површине бункер станице на којима се обавља претакање горива из возила цистерни у танкове бункер станице су обезбеђене уљном канализацијом која је спроведена цевоводом до сепаратора или танка за каљужну воду.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6.19.1 Бункер станице имају одговарајућу плутајућу заштиту за прикупљање и спречавање ширења изливеног горива на површини водотока које се спроводи цевоводом до сепаратора или танка за каљужну воду.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6.19.2 У случају уклањања санитарне отпадне воде, односно каљужне воде преко сабирног танка, односно преко танка за каљужну воду, обезбеђен је одговарајући прикључак за спајање према стандарду SRPS EN 1305:2011 и манипулативни простор за возило цистерне за одношење ових вода на сепарацију.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6.19.3 Конструкција и опрема танкова за каљужну воду је у складу са захтевима Дела 9, 9.3.3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Правила за градњу танкера типа N, став 9.3.3.26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посуде за остатак производа и талог ADN споразума.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Врсте бункер станица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7.1 Бункер стационарна станица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7.1.1 Бункер стационарна станица подлеже процедури добијања грађевинске, односно употребне дозволе у складу с прописом којим се уређује планирање и изградња.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7.1.2 Бункер стационирана станица 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складишне танкове на копну (надземне, подземне, полуукопане);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транспортну јединицу на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снабдевачку јединицу на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мерило на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уређај или инсталацију за уземљење и одвођење статичког електрицитета;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пречистач каљужних вода на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саобраћајне површине;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танк за прихват каљужних вода на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 системе за заштиту од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 плутајуће баријере, опрему и средства за прихват и сакупљање просутог горива на води.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7.1.3 На све елементе бункер стационарне станице се примењују одредбе Уредбе о техничким захтевима у погледу безбедности од пожара и експлозија на станицама за снабдевање бродова и техничких пловних објеката течним горивом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Службени гласник РС</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број 115/13), односно прописа из области планирања, изградње и енергетике.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7.2 Бункер плутајућа станица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7.2.1 Бункер плутајућа станица подлеже процедури добијања грађевинске, односно употребне дозволе у складу с прописом којим се уређује планирање и изградња.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7.2.2 Бункер плутајућа станица (слике бр. 1, 2 и 3 дате у додатку) 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складишне танкове на копну (надземне, подземне, полуукопане);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транспортну јединицу на понтону или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понтон;</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мерило на понтону или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снабдевачку јединицу на понтону;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уређај или инсталацију за уземљење и одвођење статичког електрицитета;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системе за заштиту од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пречистач каљужних вода на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 саобраћајне површине;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 танк за прихват каљужних вода на понтону или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 сабирни танк за прихват санитарних отпадних вода на понтону;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12) плутајуће баријере, опрему и средства за прихват и сакупљање просутог горива на води.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7.2.3 Понтон у саставу бункер плутајуће станице је изграђен и опремљен према одговарајућим захтевима: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 Дела 9, 9.3.3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Правила за градњу танкера типа N, ADN споразума, и то одредби ставова које се односе на танкере тип N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отворени, односно на бродове за снабдевање: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9.3.3.0 Материјали за градњу;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9.3.3.1 Досије брода;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9.3.3.8 Класификација: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9.3.3.10 Заштита од продирања гасова;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9.3.3.12 Вентилација;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9.3.3.13 Стабилитет (уопштено);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9.3.3.16 Машински простори;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9.3.3.17 Просторије за боравак посаде и радне просторије;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 9.3.3.20 Уређење кофердама;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 9.3.3.23 Испитивања притиском;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 9.3.3.25 Пумпе и цевоводи;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(12) 9.3.3.26 Посуде за остатак производа и талог;</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 9.3.3.31 Мотори;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 9.3.3.34 Издувне цеви;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 9.3.3.35 Испумпавање каљуже и размештај баластног система;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(16) 9.3.3.40 Систем за гашење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 9.3.3.41 Пламен и извори светла с отвореним пламеном;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 9.3.3.50 Документација о електричним инсталацијама;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 9.3.3.51 Електричне инсталације;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 9.3.3.52 Врста и место уградње електричне опреме;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 9.3.3.53 Уземљење;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 9.3.3.56 Електрични каблови;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(23) 9.3.3.60 Посебна опрема;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(24) 9.3.3.71 Приступ на брод;</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(25) 9.3.3.74 Забрана пушења, паљења ватре и коришћења незаштићеног светла;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Техничких правила: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Део III Бродограђевински захтеви;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Део IV Технички захтеви за растојање безбедности, надвође и ознаке газа;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Део VIII Технички захтеви за пројекат мотора;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Део IX Технички захтеви за електричну опрему;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Део X Технички захтеви за опрему за сидрење, ужад за вез, опрему за противпожарну заштиту, бродске чамце и опрему за спасавање, као и другу опрему на броду;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Део XI Технички захтеви за безбедност и здравље на раду посаде на бродовима;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Део XII Технички захтеви за стамбене просторије на бродовима.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7.2.4 Понтон је везан вођицама за шипове дубоко утемељене у водно земљиште.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7.2.5 Снабдевачка јединица на понтону је везана са копном помоћу чврсте везе преко цевног или приступног моста са фиксним цевоводом и користи се уместо снабдевачке јединице постројења на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7.2.6 Део станице који се налази на копну има изграђену саобраћајницу за приступ возила цистерне и фиксни прикључак за пуњење складишних танкова. Веза између складишних танкова станице транспортне јединице која води гориво до понтона и снабдевачке јединице се остварује фиксним цевоводом.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7.2.7 Палуба понтона је опремљена системом за прихват исцурелог горива у виду заптивне прихватне каде.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7.2.8 Минимална запремина кадe je 500 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7.2.9 Минимална запремина танка за каљужне воде је 1000 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7.2.10 Минимална запремина сабирног танка за прихват санитарних отпадних вода је 1000 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7.2.11 На све елементе бункер плутајуће станице се примењују одредбе Уредбе о техничким захтевима у погледу безбедности од пожара и експлозија на станицама за снабдевање бродова и техничких пловних објеката течним горивом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Службени гласник РС</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број 115/13), односно прописа из области планирања, изградње и енергетике.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 Бункер понтонска станица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7.3.1 Бункер понтонска станица не подлеже процедури добијања грађевинске, односно употребне дозволе у складу с прописом којим се уређује планирање и изградња.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7.3.2 Бункер понтонска станица (слике бр. 4, 5 и 6 дате у додатку) 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танкове горива у оквиру понтона;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транспортну јединицу на понтону;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понтон;</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снабдевачку јединицу на понтону;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мерило на понтону;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стабилни цевовод за пуњење танкова горива из танкера или из возила цистерне са копна;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уређај или инсталацију за уземљење и одвођење статичког електрицитета;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системе за заштиту од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 пречистач каљужних вода на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 саобраћајне површине;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 прихватну каду на палуби и танк за прихват каљужних вода на понтону или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12) сабирни танк за прихват санитарних отпадних вода на понтону;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 плутајуће баријере, опрему и средства за прихват и сакупљање просутог горива на води.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7.3.3 Понтон у саставу бункер понтонске станице је изграђен и опремљен према одговарајућим захтевима: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 Дела 9, 9.3.3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Правила за градњу танкера типа N, ADN споразума, и то одредби ставова које се односе на танкере тип N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отворени, односно на бродове за снабдевање: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9.3.3.0 Материјали за градњу;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9.3.3.1 Досије брода;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9.3.3.8 Класификација: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9.3.3.10 Заштита од продирања гасова;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9.3.3.11 Складишни простори и танкови за терет;</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9.3.3.12 Вентилација;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9.3.3.13 Стабилитет (уопштено);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9.3.3.14 Стабилитет (у неоштећеном стању);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 9.3.3.15 Стабилитет (у оштећеном стању);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 9.3.3.16 Машински простори;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 9.3.3.17 Просторије за боравак посаде и радне просторије;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(12) 9.3.3.20 Уређење кофердама;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 9.3.3.21 Сигурносне и контролне инсталације;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 9.3.3.22 Отвори танкова за терет;</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 9.3.3.23 Испитивања притиском;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(16) 9.3.3.25 Пумпе и цевоводи;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 9.3.3.26 Посуде за остатак производа и талог;</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 9.3.3.28 Систем за водено орошавање;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 9.3.3.31 Мотори;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 9.3.3.34 Издувне цеви;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 9.3.3.35 Испумпавање каљуже и размештај баластног система;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 9.3.3.40 Систем за гашење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(23) 9.3.3.41 Пламен и извори светла с отвореним пламеном;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(24) 9.3.3.50 Документација о електричним инсталацијама;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(25) 9.3.3.51 Електричне инсталације;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 9.3.3.52 Врста и место уградње електричне опреме;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(27) 9.3.3.53 Уземљење;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(28) 9.3.3.56 Електрични каблови;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 9.3.3.60 Посебна опрема;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 9.3.3.71 Приступ на брод;</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 9.3.3.74 Забрана пушења, паљења ватре и коришћења незаштићеног светла;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(32) 9.3.3.92 Излаз за случај опасности;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одредбе Техничких правила: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Део III Бродограђевински захтеви;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Део IV Технички захтеви за растојање безбедности, надвође и ознаке газа;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Део VIII Технички захтеви за пројекат мотора;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Део IX Технички захтеви за електричну опрему;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Део X Технички захтеви за опрему за сидрење, ужад за вез, опрему за противпожарну заштиту, бродске чамце и опрему за спасавање, као и другу опрему на броду;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Део XI Технички захтеви за безбедност и здравље на раду посаде на бродовима;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Део XII Технички захтеви за стамбене просторије на бродовима;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7.3.4 Понтон је везан вођицама за шипове дубоко утемељене у водно земљиште.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7.3.5 Танкови горива на понтону су везани помоћу чврсте везе преко цевног или приступног моста са возилом цистерном на копну са којих се пуне.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7.3.6 Веза танкова горива на понтону са танкером са којег се пуне се остварује помоћу флексибилног цевовода.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7.3.7 Део станице који се налази на копну има изграђену саобраћајницу за приступ возила цистерне и фиксни прикључак за пуњење танкова на понтону.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7.3.8 Веза између танкова горива станице, транспортне јединице која води гориво до понтона и снабдевачке јединице се остварује фиксним цевоводом.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7.3.9 Палуба понтона је опремљена системом за прихват исцурелог горива у виду заптивне прихватне каде.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7.3.10 Минимална запремина каде је 500 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7.3.11 Минимална запремина танка за каљужне воде је 1000 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7.3.12 Минимална запремина сабирног танка за прихват санитарних отпадних вода је 1000 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7.3.13 На остале елементе бункер понтонске станице се примењују одредбе Уредбе о техничким захтевима у погледу безбедности од пожара и експлозија на станицама за снабдевање бродова и техничких пловних објеката течним горивом.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7.4 Брод за снабдевање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7.4.1 Брод за снабдевање поседује важећи сертификат о одобрењу за танкер, а у складу са чланом 54. Закона о транспорту опасне робе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Службени гласник РС</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број 104/16).</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7.4.2 Брод за снабдевање 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прикључак за транспортну јединицу;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прихватну заптивну каду на палуби и танк за каљужне воде;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сабирни танк за санитарне отпадне воде;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снабдевачку јединицу;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системе за заштиту од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плутајуће баријере за прихват и сакупљање просутог горива на води;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прикључак за пуњење танкова горива.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7.4.3 Брод за снабдевање је изграђен и опремљен према одговарајућим захтевима: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 Дела 9, 9.3.3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Правила за градњу танкера типа N, ADN споразума, и то одредби ставова које се односе на танкере тип N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отворени, односно на бродове за снабдевање: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9.3.3.0 Материјали за градњу;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9.3.3.1 Досије брода;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9.3.3.8 Класификација: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9.3.3.10 Заштита од продирања гасова;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9.3.3.11 Складишни простори и танкови за терет;</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9.3.3.12 Вентилација;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9.3.3.13 Стабилитет (уопштено);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9.3.3.14 Стабилитет (у неоштећеном стању);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 9.3.3.15 Стабилитет (у оштећеном стању);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 9.3.3.16 Машински простори;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 9.3.3.17 Просторије за боравак посаде и радне просторије;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(12) 9.3.3.20 Уређење кофердама;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 9.3.3.21 Сигурносне и контролне инсталације;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 9.3.3.22 Отвори танкова за терет;</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 9.3.3.23 Испитивања притиском;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(16) 9.3.3.25 Пумпе и цевоводи;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 9.3.3.26 Посуде за остатак производа и талог;</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 9.3.3.28 Систем за водено орошавање;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 9.3.3.31 Мотори;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 9.3.3.32 Танкови за погонско гориво;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 9.3.3.34 Издувне цеви;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 9.3.3.35 Испумпавање каљуже и размештај баластног система;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(23) 9.3.3.40 Систем за гашење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(24) 9.3.3.41 Пламен и извори светла с отвореним пламеном;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(25) 9.3.3.50 Документација о електричним инсталацијама;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 9.3.3.51 Електричне инсталације;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(27) 9.3.3.52 Врста и место уградње електричне опреме;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(28) 9.3.3.53 Уземљење;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 9.3.3.56 Електрични каблови;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 9.3.3.60 Посебна опрема;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 9.3.3.71 Приступ на брод;</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(32) 9.3.3.74 Забрана пушења, паљења ватре и коришћења незаштићеног светла;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(33) 9.3.3.92 Излаз за случај опасности;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Техничких правила.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7.4.4 Снабдевање бродова горивом обавља се искључиво у мирујућем положају брода за снабдевање горивом и брода који се пуни горивом.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7.4.5 Оба објекта су усидрена ван пловног пута.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7.4.6 Брод за снабдевање и брод чији се танкови пуне горивом за време пуњења су безбедно повезани помоћу флексибилне везе (цевовода).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7.4.7 У току снабдевања бродова горивом унутрашњи простор између брода за снабдевање и брода је обезбеђен пливајућом баријером у случају цурења горива у воду.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7.4.8 Танкови горива у броду за снабдевање могу се пунити горивом само на станицама које су опремљене уређајима за спречавање препуњавања, који прекидају пуњење танкова и активирају оптички и акустични аларм.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7.4.9 Палуба брода за снабдевање је опремљена системом за прихват исцурелог горива у виду заптивне прихватне каде.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7.4.10 Минимална запремина каде је 500 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7.4.11 Минимална запремина танка за каљужне воде је 1000 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7.4.12 Минимална запремина сабирног танка за прихват санитарних отпадних вода је 1000 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 Бункер станица за снабдевање са возила цистерне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7.5.1 Бункер станица за снабдевање са возила цистерне не подлеже процедури добијања грађевинске, односно употребне дозволе у складу с прописом којим се уређује планирање и изградња.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7.5.2 Када се снабдевање бродова горивом врши из возила цистерне, захтеви за зоне опасности и безбедности од пожара и експлозија, локацију и безбедно постављање, изградњу, опрему, посебне одредбе, односно посебни услови за претакање из и у пловило утврђују се у складу са одредбама чл. 113</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133. Правилнику о техничким нормативима за безбедност од пожара и експлозија постројења и објеката за запаљиве и гориве течности и о ускладиштавању и претакању запаљивих и горивих течности, а које се односе на претакалишта.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7.5.3 Бункер станица за снабдевање са возила цистерне (слика бр. 7 дата у прилогу) 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возило цистерну на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транспортну јединицу на понтону или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понтон;</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мерило на понтону или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снабдевачку јединицу на понтону;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уређај или инсталацију за уземљење и одвођење статичког електрицитета;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системе за заштиту од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пречистач каљужних вода на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 саобраћајне површине;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 прихватну заптивну каду на палуби и танк за каљужне воде на понтону или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 сабирни танк за санитарне отпадне воде на понтону;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12) плутајуће баријере, опрему и средства за прихват и сакупљање просутог горива на води.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7.5.4 Понтон у саставу бункер станице за снабдевање са возила цистерне је изграђен и опремљен према одговарајућим захтевима Прилога 4, Правилника о техничким правилима за чамце, плутајуће објекте и пловећа тела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Службени гласник РС</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број 35/2018).</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7.5.5 Снабдевање бродова горивом са возила цистерне дозвољено је само за горива са тачком паљења већом од 55 °C.</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7.5.6 На бункер станици за снабдевање бродова горивом из возила цистерни постоје заштитни системи, уређаји и опрема за заштиту од пожара према одредбама чл. 134</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135. Правилника о техничким нормативима за безбедност од пожара и експлозија постројења и објеката за запаљиве и гориве течности и о ускладиштавању и претакању запаљивих и горивих течности, које се односе на претакалиште.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7.5.7 Понтон је везан вођицама за шипове дубоко утемељене у водно земљиште, а веза са копном се остварује преко или приступног челичног моста са фиксним цевоводом за прикључење возила цистерне.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7.5.8 Део станице који се налази на копну има изграђену саобраћајницу за приступ возила цистерне и фиксни прикључак за пуњење танкова горива на бродовима.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7.5.9 Веза између возила цистерне и снабдевачке јединице се остварује фиксним цевоводом.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7.5.10 Палуба понтона је опремљена системом за прихват исцурелог горива у виду заптивне прихватне каде.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7.5.11 Минимална запремина каде је 500 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7.5.12 Минимална запремина танка за каљужне воде је 1000 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7.5.13 Минимална запремина сабирног танка за прихват санитарних отпадних вода је 1000 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7.5.14 На месту постављања возила цистерне је уређена површина са приступном саобраћајницом, заштитним базеном и дренажним системом који може да прихвати целокупан садржај танка возила цистерне намењен снабдевању бродова горивом.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7.5.15 За снабдевање бродова горивом могу се користити само једноделна црева (црева без међуспојница), са обостраним системом за одвајање у случају хитности.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7.5.16 Снабдевање бродова горивом из возила цистерни дозвољено је само ако возило цистерна има и користи следеће уређаје: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уређај за претходно подешавање количине, са аутоматским искључивањем;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уређај за континуално подешавање пумпе за течно гориво за регулисање запреминског протока;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3) тастер за хитно заустављање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искључење у случају хитности (ANA);</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прикључке (евентуално адаптер) са сувом спојницом;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средства за осигурање од самопокретања (на пример, клинови за подметање испод точкова);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радио станицу за везу или мобилни телефон;</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мобилни уређај за гашење пожара капацитета најмање 50 kg праха или другог одговарајућег средства за гашење.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Посебни захтеви за опрему и уређаје на станицама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8.1 Уређај за точење горива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8.1.1 У погледу зона опасности од експлозије, изградње, опреме, безбедности од пожара и експлозија, као и спречавања загађивања вода на уређаје за точење горива се примењују одговарајуће одредбе Правилника о техничким нормативима за безбедност од пожара и експлозија, које се односе на претакалиште.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8.1.2 Уређај за точење има вентил за аутоматско затварање у свим положајима славине за истакање када је она ван употребе.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8.1.3 Славина за истакање као део мерног система је изведена тако да буде спречено препуњавање танка горива и да је онемогућено његово испадање при аутоматском затварању приликом пуњења.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8.1.4 Уређаји за точење горива могу се поставити 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 копну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код стационираних станица);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понтону (код плутајућих, понтонских и станица за снабдевање возилом цистерном);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3) танкеру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код бродова за снабдевање).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8.1.5 Сматра се да су уређаји за точење горива на води ако су: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постављени изнад воде, на шиповима уз помоћ одговарајуће конструкције, односно делу таквог објекта;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постављени на понтону;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са више од једне стране окружени водом.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8.1.6 Уређај за точење горива има антикорозивну заштиту и уземљење.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8.1.7 Код уређаја за точење горива који је уграђен изнад воде, додатно се предвиђа арматура за затварање (вентил), која преко спреге са сигурносним уређајем аутоматски искључује даљи доток горива.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8.2 Електричне инсталације и уређаји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8.2.1 За потребе снабдевања горивом пловила на бункер станици се користе само снабдевачке и транспортне јединице, мерила, уређај за точење горива, системи за повраћај пара и други електрични уређаји и инсталације изведени за безбедно функционисање у простору зона опасности од експлозија и за које постоје исправе о усаглашености које се односе на противексплозивну заштиту у складу са прописом који регулише ову материју.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8.2.2 Електричне инсталације на бункер станици имају заштиту од преоптерећења, кратког споја, индиректног додира напона, атмосферског пражњења, статичког електрицитета и других утицаја околине, а морају одговарати захтевима за зону опасности у коју су уграђене.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8.2.3 Електричне инсталације и уређаји на бункер станици уграђени у зоне опасности су пројектоване и изведене према прописима који регулишу ову област.</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8.2.4 У случају хитности електричне инсталације имају могућност искључења с једног места, до којег је могућ несметани приступ у свако доба.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8.3 Транспортна јединица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8.3.1 У погледу зона опасности од експлозије, изградње, опреме, безбедности од пожара и експлозија, као и спречавања загађивања вода на транспортну јединицу се примењују одговарајуће одредбе Правилника о техничким нормативима за безбедност од пожара и експлозија постројења и објеката за запаљиве и гориве течности и о ускладиштавању и претакању запаљивих и горивих течности, које се односе на претакалиште.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8.3.2 У случају хитности транспортна јединица има могућност искључења с једног места, до којег је могућ несметани приступ у свако доба.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8.3.3 Уређај за искључење транспортне јединице у случају хитности је видно означен и његовим активирањем се отклања настала опасност без стварања нових опасности.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8.3.4 Транспортна јединица се поставља 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копну (код стационарних станица);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танкеру (код бродова за снабдевање);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копну или понтону (код плутајућих станица);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понтону (код понтонских станица и станица за снабдевање возилом цистерном).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 Снабдевачка јединица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8.4.1 У погледу зона опасности од експлозије, изградње, опреме, безбедности од пожара и експлозија, као и спречавања загађивања вода на снабдевачку јединицу се примењују одговарајуће одредбе Правилника о техничким нормативима за безбедност од пожара и експлозија постројења и објеката за запаљиве и гориве течности и о ускладиштавању и претакању запаљивих и горивих течности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Службени гласник РС</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број 114/17), које се односе на претакалиште.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8.4.2 Снабдевачка јединица може бити постављена 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копну (код стационираних станица);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понтону (код плутајућих, понтонских станица и станица за снабдевање возилом цистерном);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танкеру (код бродова за снабдевање).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8.4.3 Подручје деловања снабдевачке јединице је удаљено најмање 2 m од врата или других отвора на објекту станице.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8.4.4 У подручју деловања снабдевачке јединице забрањена је употреба славине за истакање за пуњење посуда и сличне амбалаже течним горивом.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8.4.5 Снабдевачке јединице се постављају на отвореном простору и не смеју се поставити испод нивоа палубе.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8.4.6 Снабдевачке јединице се постављају или осигуравају тако да се не може угрозити њихова стабилност при коришћењу, као и оштећење при нормалном кретању пловила.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8.4.7 Снабдевачке јединице постављају се на издигнутом постољу које са свих страна прелази обим уређаја или на узвишеном делу понтона који је ограничен заштитним кадом.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8.4.8 Унутар подручја деловања снабдевачке јединице изводи се чврста и непропусна подлога, тако да се разливено течно гориво може видети и уклонити.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8.4.9 Подлога на палуби понтонске станице, односно брода за снабдевање, може бити од одговарајућег нерђајућег материјала, односно од металних легура и/или на течно гориво отпорних пластичних маса, односно изведена комбиновано, који спречавају клизање у случају када се течно гориво пролије. Спојеви као и сама подлога морају бити непропусни, заптивени одговарајућим силиконским лепилима, односно заварени и не смеју сакупљати статички електрицитет.</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8.4.10 Унутар подручја деловања снабдевачке јединице, отвори канала и заштитних цеви за цевоводе и електричне каблове као и сви остали отвори се штите од продора течних горива и пара на један од погодних начина.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8.4.11 Заштита од продора течних горива и пара може се постићи заптивањем еластичним заптивкама или другим средствима, односно заливањем одговарајућим средством које након тога поуздано заптива, а отпорна су на деловање нафтних деривата или попуњавањем песком.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8.4.12 Заштитна кућишта снабдевачких јединица издржавају очекивана оптерећења, отпорна су на оксидацију и незапаљива.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8.4.13 Захтеви за издржљивост на оптерећење, отпорност на оксидацију и незапаљивост су испуњени за снабдевачке јединице за течно гориво ако су: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обложене челичним лимом дебљине зидова најмање 1 mm или лимом од одговарајућег легираног челика дебљине зидова најмање 0,5 mm;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окна за гледање чија је површина већа од 0,12 m</w:t>
      </w:r>
      <w:r w:rsidRPr="000241D5">
        <w:rPr>
          <w:rFonts w:ascii="Arial" w:eastAsia="Times New Roman" w:hAnsi="Arial" w:cs="Arial"/>
          <w:sz w:val="15"/>
          <w:szCs w:val="15"/>
          <w:vertAlign w:val="superscript"/>
          <w:lang w:val="sr-Latn-RS" w:eastAsia="sr-Latn-RS"/>
        </w:rPr>
        <w:t>2</w:t>
      </w:r>
      <w:r w:rsidRPr="000241D5">
        <w:rPr>
          <w:rFonts w:ascii="Arial" w:eastAsia="Times New Roman" w:hAnsi="Arial" w:cs="Arial"/>
          <w:sz w:val="20"/>
          <w:szCs w:val="20"/>
          <w:lang w:val="sr-Latn-RS" w:eastAsia="sr-Latn-RS"/>
        </w:rPr>
        <w:t>, а осветљења су с унутрашње стране изведена од грађевинског стакла дебљине најмање 4,5 mm;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окна за гледање чија је површина до 0,12 m</w:t>
      </w:r>
      <w:r w:rsidRPr="000241D5">
        <w:rPr>
          <w:rFonts w:ascii="Arial" w:eastAsia="Times New Roman" w:hAnsi="Arial" w:cs="Arial"/>
          <w:sz w:val="15"/>
          <w:szCs w:val="15"/>
          <w:vertAlign w:val="superscript"/>
          <w:lang w:val="sr-Latn-RS" w:eastAsia="sr-Latn-RS"/>
        </w:rPr>
        <w:t>2</w:t>
      </w:r>
      <w:r w:rsidRPr="000241D5">
        <w:rPr>
          <w:rFonts w:ascii="Arial" w:eastAsia="Times New Roman" w:hAnsi="Arial" w:cs="Arial"/>
          <w:sz w:val="20"/>
          <w:szCs w:val="20"/>
          <w:lang w:val="sr-Latn-RS" w:eastAsia="sr-Latn-RS"/>
        </w:rPr>
        <w:t>, без унутрашње расвете изведена од сигурносног стакла дебљине најмање 4 mm;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у доњем подручју кућишта смештени отвори за вентилацију чија површина износи барем 2% подне површине снабдевачке јединице, али не мањe од 60 cm</w:t>
      </w:r>
      <w:r w:rsidRPr="000241D5">
        <w:rPr>
          <w:rFonts w:ascii="Arial" w:eastAsia="Times New Roman" w:hAnsi="Arial" w:cs="Arial"/>
          <w:sz w:val="15"/>
          <w:szCs w:val="15"/>
          <w:vertAlign w:val="superscript"/>
          <w:lang w:val="sr-Latn-RS" w:eastAsia="sr-Latn-RS"/>
        </w:rPr>
        <w:t>2</w:t>
      </w:r>
      <w:r w:rsidRPr="000241D5">
        <w:rPr>
          <w:rFonts w:ascii="Arial" w:eastAsia="Times New Roman" w:hAnsi="Arial" w:cs="Arial"/>
          <w:sz w:val="20"/>
          <w:szCs w:val="20"/>
          <w:lang w:val="sr-Latn-RS" w:eastAsia="sr-Latn-RS"/>
        </w:rPr>
        <w:t>;</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лимови за облагање тако причвршћени да се могу отпустити и демонтирати само уз примену кључева или алата.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8.4.14 Захтеви за издржљивост на оптерећење, отпорност на оксидацију и незапаљивост за заштитна кућишта аутомата за истакање су испуњени ако су: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обложени лимовима од челика чија дебљина зидова износи најмање 1,25 mm или одговарајућег легираног челика дебљине зидова најмање 1 mm, а изузетно површина која није ојачана деловима оквира или оквирном конструкцијом (нпр. горњи бочни зид) и не прелази површину од 0,25 m</w:t>
      </w:r>
      <w:r w:rsidRPr="000241D5">
        <w:rPr>
          <w:rFonts w:ascii="Arial" w:eastAsia="Times New Roman" w:hAnsi="Arial" w:cs="Arial"/>
          <w:sz w:val="15"/>
          <w:szCs w:val="15"/>
          <w:vertAlign w:val="superscript"/>
          <w:lang w:val="sr-Latn-RS" w:eastAsia="sr-Latn-RS"/>
        </w:rPr>
        <w:t>2</w:t>
      </w:r>
      <w:r w:rsidRPr="000241D5">
        <w:rPr>
          <w:rFonts w:ascii="Arial" w:eastAsia="Times New Roman" w:hAnsi="Arial" w:cs="Arial"/>
          <w:sz w:val="20"/>
          <w:szCs w:val="20"/>
          <w:lang w:val="sr-Latn-RS" w:eastAsia="sr-Latn-RS"/>
        </w:rPr>
        <w:t xml:space="preserve"> може бити од одговарајућег легираног челика дебљине најмање 0,7 mm;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окна за гледање изведена из сигурносног стакла дебљине од најмање 4,5 mm;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отвори за вентилацију смештени у доњем подручју кућишта чија површина барем 2% подне површине аутомата, али не мањи од 60 cm</w:t>
      </w:r>
      <w:r w:rsidRPr="000241D5">
        <w:rPr>
          <w:rFonts w:ascii="Arial" w:eastAsia="Times New Roman" w:hAnsi="Arial" w:cs="Arial"/>
          <w:sz w:val="15"/>
          <w:szCs w:val="15"/>
          <w:vertAlign w:val="superscript"/>
          <w:lang w:val="sr-Latn-RS" w:eastAsia="sr-Latn-RS"/>
        </w:rPr>
        <w:t>2</w:t>
      </w:r>
      <w:r w:rsidRPr="000241D5">
        <w:rPr>
          <w:rFonts w:ascii="Arial" w:eastAsia="Times New Roman" w:hAnsi="Arial" w:cs="Arial"/>
          <w:sz w:val="20"/>
          <w:szCs w:val="20"/>
          <w:lang w:val="sr-Latn-RS" w:eastAsia="sr-Latn-RS"/>
        </w:rPr>
        <w:t>;</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заштитни лимови причвршћени, тако да се могу отпустити и демонтирати само уз употребу алата.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Кућишта снабдевачких јединица се повезују на уземљивач.</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8.4.15 Синтетички материјали који су саставни део кућишта снабдевачке јединице и уређаја за точење горива су: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електропроводљиви;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не омогућавају стварање статичког електрицитета о чему постоји декларација произвођача;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издржавају очекивана оптерећења и утицај околине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отпорни на оксидацију и незапаљиви сагласно прописима или доброј инжењерској пракси.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8.4.16 Снабдевачке јединице ради заштите од препуњавања танкова за течно гориво на пловилима имају уређај за аутоматско искључење (у даљем тексту: аутоматски уређај снабдевачке јединице) пре него што се танк у потпуности напуни.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8.4.17 Аутоматски уређаји снабдевачке јединице имају доказ о одржавању у складу са стандардима SRPS EN 60079-14, SRPS EN 60079-17 и SRPS EN 60079-19.</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8.4.18 Црева за утакање течних горива која су саставни део снабдевачке јединице су: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савитљива;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трајно отпорна на савијање;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хемијски отпорна на нафтне деривате;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испитана на потезно оптерећење (кидање);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испитана на електропроводљивост, при чему електрични отпор не сме бити већи од 106 Ώ;</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испитана на непропусност при притиску који је 1,5 пута већи од највећег могућег радног притиска о чему постоји декларација произвођача;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са уграђеним нитима за спровођење статичког електрицитета.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8.5 Цевоводи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8.5.1.1 Цевоводи на понтонима бункер станица су у складу са захтевима дела 9, 9.3.3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Правила за градњу танкера типа N, ADN споразума, ставови: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9.3.3.23 Испитивања притиском;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9.3.3.25 Пумпе и цевоводи;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8.5.1.2 Цевоводи на осталим елементима бункер станица су у складу са захтевима Правилника о техничким нормативима за безбедност од пожара и експлозија постројења и објеката за запаљиве и гориве течности и о ускладиштавању и претакању запаљивих течности, као и Уредбе о техничким захтевима у погледу безбедности од пожара и експлозија станица за снабдевање бродова и техничких пловних објеката течним горивом.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8.5.2 Цевоводи на осталим елементима бункер станица су: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димензионисани према радним захтевима;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израђени од одговарајућих материјала отпорних на корозију;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антикорозивно заштићени;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опремљени уређајима за уземљење и одвођење статичког електрицитета монтираним на спојевима цевовода;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испитани на непропусност при притиску који је 1,5 пута већи од највећег могућег радног притиска о чему постоји исправа признате испитне институције из области опреме под притиском.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8.5.3 Код цевовода између транспортне јединице и вентила испред снабдевачке јединице, као и код цевовода изнад површина намењених за кретање лица не смеју постојати спојеви који се могу раставити без употребе алата.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8.6 Складишни танкови на станицама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8.6.1 За складиштење горива на просторима станица танкови, односно танкови у погледу захтева за постављање (локација), зона опасности од експлозије, конструкције, изградње, опреме, заштитних базена и дренажних система, безбедности од пожара и експлозија испуњавају одговарајуће одредбе, којима је постигнут најмање исти ниво квалитета: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Правилника о техничким нормативима за безбедност од пожара и експлозија постројења и објеката за запаљиве и гориве течности и о ускладиштавању и претакању запаљивих и горивих течности, које се односе на танкове; или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 Дела 9, 9.3.3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Правила за градњу танкера типа N.</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8.6.2 Пуњење танкова на станицама дозвољено је само из танкера, кола цистерни, односно возила цистерни под условом да су опремљени сигурносним уређајима који се аутоматски активирају ради отклањања настале опасности.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8.7 Системи за гашење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8.7.1 Понтони бункер станица су опремљени системима за дојаву и гашење пожара у складу са одредбама Дела 9, 9.3.3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Правила за градњу танкера типа N, став 9.3.3.40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Систем за гашење пожара, ADN споразума.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8.7.2 Остали елементи бункер станица су опремљени системима за дојаву и гашење пожара у складу са одредбама Правилника о техничким нормативима за безбедност од пожара и експлозија постројења и објеката за запаљиве и гориве течности и о ускладиштавању и претакању запаљивих и горивих течности.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8.7.2 На бункер станици су постављени ватрогасни апарати са средством за гашење за класу пожара А, Б и Ц, распоређених на следећи начин:</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 поред снабдевачке јединице превозни апарат капацитета најмање 50 kg;</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 поред транспортне јединице апарат капацитета 9 kg;</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 поред мерила апарат капацитета 9 kg;</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 поред танка станице апарат капацитета 9 kg.</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8.7.3 Код претакања горива из возила цистерне у складишне танкове станице поставља се најмање један превозни ватрогасни апарат капацитета најмање 50 kg средстaва за гашење за класу пожара А, Б и Ц.</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8.8 Одушни системи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8.8.1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Одушни системи танкова за гориво на понтону понтонске станице имају одвод у слободни простор тако да запаљива и експлозивна испарења не могу проузроковати опасност за људе и имовину.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Одушни системи танкова за гориво на понтону су у складу са следећим захтевима: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излазни отвор одушног система је смештен на отвореном простору;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излазни отвор је на висини вишој од снабдевачке јединице;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заштићени су од уласка атмосферских падавина;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опремљени уређајем за спречавање продора пламена;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излазни отвор одушног система у хоризонталној пројекцији је удаљен од прозора и других незаштићених отвора на трупу најмање 2 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3. Конструкција и опрема одушних система танкова за гориво на понтону понтонске станице је у складу са одредбама Дела 9, 9.3.3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Правила за градњу танкера типа N, ADN споразума, тачка 9.3.3.22 отвори танкова за терет, која се односе на танкер тип N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отворени, са уређајима за спречавање продора пламена.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8.8.2 Одушни систем копнених танкова на станицама је у складу са одредбама Правилника о техничким нормативима за безбедност од пожара и експлозија постројења и објеката за запаљиве и гориве течности и о ускладиштавању и претакању запаљивих и горивих течности.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8.8.3 Брзореагујући сигурносни вентили на цевоводу поврата пара су испитани пре уградње о чему постоји исправа о усаглашености, а функционалност се проверава према упутству произвођача најмање једанпут годишње од стране акредитованог тела за оцењивање усаглашености, односно признате испитне институције у складу са посебним прописима из те области.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8.8.4 Уређаји за спречавање продора пламена на одушним системима танкова на понтону су испитани пре уградње, о чему постоји исправа о усаглашености, а функционалност се проверава према упутству произвођача најмање једанпут у две године од стране акредитованог тела за оцењивање усаглашености, односно признате испитне институције у складу са посебним прописима из те области.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 Оперативни захтеви током пуњења пловила горивом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9.1 Током пуњења пловила горивом испуњени су захтеви става 7.2.3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ADN споразума.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Осим општих захтева из става 1. овог члана, испуњени су следећи посебни оперативни захтеви: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9.2 За време пуњења танкова пловила горивом на станицама, веза између пловила и станице је изведена тако да се не дозволи прекомерно оптерећење везе кроз коју пролази гориво између станице и пловила.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9.3 За везу између станице и пловила у циљу пуњења танкова пловила горивом, користи се сува спојница која се откида и затвара црево пре него што се оно изложи недозвољеним оптерећењима.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9.4 Веза станица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пловило је што је могуће краћа. Ако се гориво сипа на нагибу (денивелација пловила и станице), веза станица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пловило у зависности од захтева се поставља преко пешачке стазе или преко моста за истакање.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9.5 Слободно вешање изнад воде није дозвољено.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9.6 Танк горива на пловилу се пуни само преко фиксног прикључка, који је опремљен фиксном спојницом на следеће начине: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Без давача граничне вредности сипање горива може да се врши само ако: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је одговорни члан посаде пловила у писаној форми обавестио особље станице о капацитету танка који треба напунити;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запремински проток не прелази 200 l/min.;</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је снабдевачка јединица опремљена уређајем за претходно подешавање количине са аутоматским искључивањем.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Са давачем граничне вредности гориво се може сипати само ако давач граничне вредности функционише и ако је прикључен.</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9.7 Брод који пристаје на станицу ради пуњења горивом, а који превози опасну робу поседује важећи сертификат о одобрењу за брод, односно сертификат о одобрењу за танкер, а у складу са чланом 54. Закона о транспорту опасне робе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Службени гласник РС</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број 104/16).</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9.8 На станици, за време пуњења течним горивом танкова пловила није дозвољено: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снабдевање горивом пловила којима је мотор у погону и којима су активни спољни извори топлоте;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точење горива у посуде;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присуство путника на пловилу;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ношење и употреба шибица, упаљача и других предмета који изазивају пламен или варничење;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држање материја које су подложне самозапаљењу;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коришћење отвореног пламена у било којем облику;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приступ возила која приликом рада погонског уређаја могу избацивати искре, односно изазивати варничење, а немају хватач варница;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одлагање запаљивих материјала било које врсте;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9) употреба електричних уређаја који нису безбедно изведени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сертификовани;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 чишћење копна и других загађених површина на станици, употреба бензина или других лако запаљивих материјала за потребе чишћења;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 манипулисање горивом на било који други начин;</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12) употреба алата који варничи.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9.9 За време претакања горива из возила цистерне или танкера у складишне танкове станице, приступ на станицу ограничава се постављањем сигнализације и саобраћајних знакова и уочљивих и читљивих натписа о забрани приступа неовлашћеним лицима и пловилима.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9.10 У зонама опасности није дозвољено: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држање и употреба алата, уређаја и опреме који при употреби могу да стварају варнице;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пушење и коришћење отворене ватре у било ком облику;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држање оксидирајућих, реактивних или самозапаљивих материја;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одлагање запаљивих и других материја које нису у функцији обављања делатности станице;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коришћење машина које при раду свог погонског уређаја могу да створе варницу;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употреба електричних уређаја који немају противексплозивну заштиту;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употреба уређаја и опреме који нису прописно заштићени од статичког електрицитета.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9.11 Површине на које су се разлиле запаљиве течности се одмах очисте, а остаци чишћења одлажу на сигурно место где у случају пожара не представљају опасност за ширење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9.12 Остаци од чишћења имају својство опасног отпада и са њима се поступа у складу са прописима који регулишу ову област.</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9.13 На станици се налазе средства и опрема за ефикасно уклањање разливених запаљивих течности: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упијајућа средства за нафтне деривате;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дисперзивно средство;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приручни алат за чишћење.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9.14 Пре и за време истакања горива из возила цистерне у танкове на станици предузима се следеће: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гашење мотора и осигурање возила цистерне или пловила од изненадног кретања;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припрема мобилног ватрогасног апарата капацитета најмање 50 kg средстава за гашење за класу пожара А, Б и Ц;</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прикључење уређаја за уземљење када је прекидач у нултом положају, након чега се прекидач укључује у радно стање;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провера нивоа горива у складишном танку станице, као и исправност прикључних спојева, цеви за претакање и других уређаја за претакање уз почетак претакања под сталним надзором посаде возила или пловила и оспособљеног запосленог лица са станице, кад се утврди да су сви отвори који могу утицати на разливање затворени и кад су предузете потребне мере за спречавање могућег препуњавања;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провера исправности канализације и цевовода за сакупљање атмосферских и каљужних 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9.15 Станица почиње са пуњењем танкова пловила горивом тек након завршетка истакања горива из возила цистерне или пловила у складишне танкове.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9.16 Противексплозивно заштићени уређаји и инсталације на станицама, као и други уређаји и инсталације на станици су исправни.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9.17 На станицама постоји документација из које је видљиво да се одржавање и контрола исправности уређаја и инсталација из 9.15 обавља на начин и у временским размацима одређеним прописом, односно упутством произвођача.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9.18 На станицама су јасно видљива истакнута оперативна упутства о поступању током пуњења бункер станице горивом, као и током пуњења бродова горивом.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 ПРЕЛАЗНЕ ОДРЕДБЕ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10.1 Постојећи понтони у саставу бункер понтонских станица, односно бродови за снабдевање се усклађују за захтевима ових прописа најкасније до рокова важења наведених у Поглављу 1.6, став 1.6.7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Прелазне одредбе које се односе на бродове, подставови 1.6.7.1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Опште одредбе, 1.6.7.2.2.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Опште прелазне одредбе за танкере, ADN споразума.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10.2 Постојећи понтони у саставу бункер плутајућих станица, односно станица за снабдевање са возила цистерни се усклађују са захтевима овог прописа најкасније за 2 године.</w:t>
      </w:r>
    </w:p>
    <w:p w:rsidR="000241D5" w:rsidRPr="000241D5" w:rsidRDefault="000241D5" w:rsidP="000241D5">
      <w:pPr>
        <w:widowControl/>
        <w:autoSpaceDE/>
        <w:autoSpaceDN/>
        <w:rPr>
          <w:rFonts w:ascii="Arial" w:eastAsia="Times New Roman" w:hAnsi="Arial" w:cs="Arial"/>
          <w:sz w:val="20"/>
          <w:szCs w:val="20"/>
          <w:lang w:val="sr-Latn-RS" w:eastAsia="sr-Latn-RS"/>
        </w:rPr>
      </w:pPr>
      <w:r w:rsidRPr="000241D5">
        <w:rPr>
          <w:rFonts w:ascii="Arial" w:eastAsia="Times New Roman" w:hAnsi="Arial" w:cs="Arial"/>
          <w:noProof/>
          <w:sz w:val="20"/>
          <w:szCs w:val="20"/>
          <w:lang w:val="sr-Latn-RS" w:eastAsia="sr-Latn-RS"/>
        </w:rPr>
        <w:drawing>
          <wp:inline distT="0" distB="0" distL="0" distR="0">
            <wp:extent cx="5059045" cy="8764270"/>
            <wp:effectExtent l="0" t="0" r="8255" b="0"/>
            <wp:docPr id="50" name="Picture 50" descr="https://www.pravno-informacioni-sistem.rs/SlGlasnikPortal/slike/pravilnik-brodovi_Page_3.png&amp;doctype=reg&amp;abc=cba&amp;eli=true&amp;eliActId=435669&amp;regactid=43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ravno-informacioni-sistem.rs/SlGlasnikPortal/slike/pravilnik-brodovi_Page_3.png&amp;doctype=reg&amp;abc=cba&amp;eli=true&amp;eliActId=435669&amp;regactid=4356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9045" cy="8764270"/>
                    </a:xfrm>
                    <a:prstGeom prst="rect">
                      <a:avLst/>
                    </a:prstGeom>
                    <a:noFill/>
                    <a:ln>
                      <a:noFill/>
                    </a:ln>
                  </pic:spPr>
                </pic:pic>
              </a:graphicData>
            </a:graphic>
          </wp:inline>
        </w:drawing>
      </w:r>
    </w:p>
    <w:p w:rsidR="000241D5" w:rsidRPr="000241D5" w:rsidRDefault="000241D5" w:rsidP="000241D5">
      <w:pPr>
        <w:widowControl/>
        <w:autoSpaceDE/>
        <w:autoSpaceDN/>
        <w:rPr>
          <w:rFonts w:ascii="Arial" w:eastAsia="Times New Roman" w:hAnsi="Arial" w:cs="Arial"/>
          <w:sz w:val="20"/>
          <w:szCs w:val="20"/>
          <w:lang w:val="sr-Latn-RS" w:eastAsia="sr-Latn-RS"/>
        </w:rPr>
      </w:pPr>
      <w:r w:rsidRPr="000241D5">
        <w:rPr>
          <w:rFonts w:ascii="Arial" w:eastAsia="Times New Roman" w:hAnsi="Arial" w:cs="Arial"/>
          <w:noProof/>
          <w:sz w:val="20"/>
          <w:szCs w:val="20"/>
          <w:lang w:val="sr-Latn-RS" w:eastAsia="sr-Latn-RS"/>
        </w:rPr>
        <w:drawing>
          <wp:inline distT="0" distB="0" distL="0" distR="0">
            <wp:extent cx="5059045" cy="8360410"/>
            <wp:effectExtent l="0" t="0" r="8255" b="2540"/>
            <wp:docPr id="49" name="Picture 49" descr="https://www.pravno-informacioni-sistem.rs/SlGlasnikPortal/slike/pravilnik-brodovi_Page_4.png&amp;doctype=reg&amp;abc=cba&amp;eli=true&amp;eliActId=435669&amp;regactid=43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ravno-informacioni-sistem.rs/SlGlasnikPortal/slike/pravilnik-brodovi_Page_4.png&amp;doctype=reg&amp;abc=cba&amp;eli=true&amp;eliActId=435669&amp;regactid=4356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9045" cy="8360410"/>
                    </a:xfrm>
                    <a:prstGeom prst="rect">
                      <a:avLst/>
                    </a:prstGeom>
                    <a:noFill/>
                    <a:ln>
                      <a:noFill/>
                    </a:ln>
                  </pic:spPr>
                </pic:pic>
              </a:graphicData>
            </a:graphic>
          </wp:inline>
        </w:drawing>
      </w:r>
    </w:p>
    <w:p w:rsidR="000241D5" w:rsidRPr="000241D5" w:rsidRDefault="000241D5" w:rsidP="000241D5">
      <w:pPr>
        <w:widowControl/>
        <w:autoSpaceDE/>
        <w:autoSpaceDN/>
        <w:rPr>
          <w:rFonts w:ascii="Arial" w:eastAsia="Times New Roman" w:hAnsi="Arial" w:cs="Arial"/>
          <w:sz w:val="20"/>
          <w:szCs w:val="20"/>
          <w:lang w:val="sr-Latn-RS" w:eastAsia="sr-Latn-RS"/>
        </w:rPr>
      </w:pPr>
      <w:r w:rsidRPr="000241D5">
        <w:rPr>
          <w:rFonts w:ascii="Arial" w:eastAsia="Times New Roman" w:hAnsi="Arial" w:cs="Arial"/>
          <w:noProof/>
          <w:sz w:val="20"/>
          <w:szCs w:val="20"/>
          <w:lang w:val="sr-Latn-RS" w:eastAsia="sr-Latn-RS"/>
        </w:rPr>
        <w:drawing>
          <wp:inline distT="0" distB="0" distL="0" distR="0">
            <wp:extent cx="5059045" cy="7766685"/>
            <wp:effectExtent l="0" t="0" r="8255" b="5715"/>
            <wp:docPr id="48" name="Picture 48" descr="https://www.pravno-informacioni-sistem.rs/SlGlasnikPortal/slike/pravilnik-brodovi_Page_5.png&amp;doctype=reg&amp;abc=cba&amp;eli=true&amp;eliActId=435669&amp;regactid=43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ravno-informacioni-sistem.rs/SlGlasnikPortal/slike/pravilnik-brodovi_Page_5.png&amp;doctype=reg&amp;abc=cba&amp;eli=true&amp;eliActId=435669&amp;regactid=4356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9045" cy="7766685"/>
                    </a:xfrm>
                    <a:prstGeom prst="rect">
                      <a:avLst/>
                    </a:prstGeom>
                    <a:noFill/>
                    <a:ln>
                      <a:noFill/>
                    </a:ln>
                  </pic:spPr>
                </pic:pic>
              </a:graphicData>
            </a:graphic>
          </wp:inline>
        </w:drawing>
      </w:r>
    </w:p>
    <w:p w:rsidR="000241D5" w:rsidRPr="000241D5" w:rsidRDefault="000241D5" w:rsidP="000241D5">
      <w:pPr>
        <w:widowControl/>
        <w:autoSpaceDE/>
        <w:autoSpaceDN/>
        <w:rPr>
          <w:rFonts w:ascii="Arial" w:eastAsia="Times New Roman" w:hAnsi="Arial" w:cs="Arial"/>
          <w:sz w:val="20"/>
          <w:szCs w:val="20"/>
          <w:lang w:val="sr-Latn-RS" w:eastAsia="sr-Latn-RS"/>
        </w:rPr>
      </w:pPr>
      <w:r w:rsidRPr="000241D5">
        <w:rPr>
          <w:rFonts w:ascii="Arial" w:eastAsia="Times New Roman" w:hAnsi="Arial" w:cs="Arial"/>
          <w:noProof/>
          <w:sz w:val="20"/>
          <w:szCs w:val="20"/>
          <w:lang w:val="sr-Latn-RS" w:eastAsia="sr-Latn-RS"/>
        </w:rPr>
        <w:drawing>
          <wp:inline distT="0" distB="0" distL="0" distR="0">
            <wp:extent cx="5059045" cy="7481570"/>
            <wp:effectExtent l="0" t="0" r="0" b="0"/>
            <wp:docPr id="47" name="Picture 47" descr="https://www.pravno-informacioni-sistem.rs/SlGlasnikPortal/slike/pravilnik-brodovi_Page_6.png&amp;doctype=reg&amp;abc=cba&amp;eli=true&amp;eliActId=435669&amp;regactid=43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ravno-informacioni-sistem.rs/SlGlasnikPortal/slike/pravilnik-brodovi_Page_6.png&amp;doctype=reg&amp;abc=cba&amp;eli=true&amp;eliActId=435669&amp;regactid=4356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9045" cy="7481570"/>
                    </a:xfrm>
                    <a:prstGeom prst="rect">
                      <a:avLst/>
                    </a:prstGeom>
                    <a:noFill/>
                    <a:ln>
                      <a:noFill/>
                    </a:ln>
                  </pic:spPr>
                </pic:pic>
              </a:graphicData>
            </a:graphic>
          </wp:inline>
        </w:drawing>
      </w:r>
    </w:p>
    <w:p w:rsidR="000241D5" w:rsidRPr="000241D5" w:rsidRDefault="000241D5" w:rsidP="000241D5">
      <w:pPr>
        <w:widowControl/>
        <w:autoSpaceDE/>
        <w:autoSpaceDN/>
        <w:rPr>
          <w:rFonts w:ascii="Arial" w:eastAsia="Times New Roman" w:hAnsi="Arial" w:cs="Arial"/>
          <w:sz w:val="20"/>
          <w:szCs w:val="20"/>
          <w:lang w:val="sr-Latn-RS" w:eastAsia="sr-Latn-RS"/>
        </w:rPr>
      </w:pPr>
      <w:r w:rsidRPr="000241D5">
        <w:rPr>
          <w:rFonts w:ascii="Arial" w:eastAsia="Times New Roman" w:hAnsi="Arial" w:cs="Arial"/>
          <w:noProof/>
          <w:sz w:val="20"/>
          <w:szCs w:val="20"/>
          <w:lang w:val="sr-Latn-RS" w:eastAsia="sr-Latn-RS"/>
        </w:rPr>
        <w:drawing>
          <wp:inline distT="0" distB="0" distL="0" distR="0">
            <wp:extent cx="5059045" cy="7635875"/>
            <wp:effectExtent l="0" t="0" r="0" b="0"/>
            <wp:docPr id="46" name="Picture 46" descr="https://www.pravno-informacioni-sistem.rs/SlGlasnikPortal/slike/pravilnik-brodovi_Page_7.png&amp;doctype=reg&amp;abc=cba&amp;eli=true&amp;eliActId=435669&amp;regactid=43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ravno-informacioni-sistem.rs/SlGlasnikPortal/slike/pravilnik-brodovi_Page_7.png&amp;doctype=reg&amp;abc=cba&amp;eli=true&amp;eliActId=435669&amp;regactid=4356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9045" cy="7635875"/>
                    </a:xfrm>
                    <a:prstGeom prst="rect">
                      <a:avLst/>
                    </a:prstGeom>
                    <a:noFill/>
                    <a:ln>
                      <a:noFill/>
                    </a:ln>
                  </pic:spPr>
                </pic:pic>
              </a:graphicData>
            </a:graphic>
          </wp:inline>
        </w:drawing>
      </w:r>
    </w:p>
    <w:p w:rsidR="000241D5" w:rsidRPr="000241D5" w:rsidRDefault="000241D5" w:rsidP="000241D5">
      <w:pPr>
        <w:widowControl/>
        <w:autoSpaceDE/>
        <w:autoSpaceDN/>
        <w:rPr>
          <w:rFonts w:ascii="Arial" w:eastAsia="Times New Roman" w:hAnsi="Arial" w:cs="Arial"/>
          <w:sz w:val="20"/>
          <w:szCs w:val="20"/>
          <w:lang w:val="sr-Latn-RS" w:eastAsia="sr-Latn-RS"/>
        </w:rPr>
      </w:pPr>
      <w:r w:rsidRPr="000241D5">
        <w:rPr>
          <w:rFonts w:ascii="Arial" w:eastAsia="Times New Roman" w:hAnsi="Arial" w:cs="Arial"/>
          <w:noProof/>
          <w:sz w:val="20"/>
          <w:szCs w:val="20"/>
          <w:lang w:val="sr-Latn-RS" w:eastAsia="sr-Latn-RS"/>
        </w:rPr>
        <w:drawing>
          <wp:inline distT="0" distB="0" distL="0" distR="0">
            <wp:extent cx="5059045" cy="7956550"/>
            <wp:effectExtent l="0" t="0" r="8255" b="6350"/>
            <wp:docPr id="45" name="Picture 45" descr="https://www.pravno-informacioni-sistem.rs/SlGlasnikPortal/slike/pravilnik-brodovi_Page_8.png&amp;doctype=reg&amp;abc=cba&amp;eli=true&amp;eliActId=435669&amp;regactid=43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ravno-informacioni-sistem.rs/SlGlasnikPortal/slike/pravilnik-brodovi_Page_8.png&amp;doctype=reg&amp;abc=cba&amp;eli=true&amp;eliActId=435669&amp;regactid=4356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9045" cy="7956550"/>
                    </a:xfrm>
                    <a:prstGeom prst="rect">
                      <a:avLst/>
                    </a:prstGeom>
                    <a:noFill/>
                    <a:ln>
                      <a:noFill/>
                    </a:ln>
                  </pic:spPr>
                </pic:pic>
              </a:graphicData>
            </a:graphic>
          </wp:inline>
        </w:drawing>
      </w:r>
    </w:p>
    <w:p w:rsidR="000241D5" w:rsidRDefault="000241D5" w:rsidP="000241D5">
      <w:pPr>
        <w:widowControl/>
        <w:autoSpaceDE/>
        <w:autoSpaceDN/>
        <w:rPr>
          <w:rFonts w:ascii="Arial" w:eastAsia="Times New Roman" w:hAnsi="Arial" w:cs="Arial"/>
          <w:sz w:val="20"/>
          <w:szCs w:val="20"/>
          <w:lang w:val="sr-Latn-RS" w:eastAsia="sr-Latn-RS"/>
        </w:rPr>
      </w:pPr>
      <w:r w:rsidRPr="000241D5">
        <w:rPr>
          <w:rFonts w:ascii="Arial" w:eastAsia="Times New Roman" w:hAnsi="Arial" w:cs="Arial"/>
          <w:noProof/>
          <w:sz w:val="20"/>
          <w:szCs w:val="20"/>
          <w:lang w:val="sr-Latn-RS" w:eastAsia="sr-Latn-RS"/>
        </w:rPr>
        <w:drawing>
          <wp:inline distT="0" distB="0" distL="0" distR="0">
            <wp:extent cx="5059045" cy="7612380"/>
            <wp:effectExtent l="0" t="0" r="8255" b="7620"/>
            <wp:docPr id="44" name="Picture 44" descr="https://www.pravno-informacioni-sistem.rs/SlGlasnikPortal/slike/pravilnik-brodovi_Page_9.png&amp;doctype=reg&amp;abc=cba&amp;eli=true&amp;eliActId=435669&amp;regactid=43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ravno-informacioni-sistem.rs/SlGlasnikPortal/slike/pravilnik-brodovi_Page_9.png&amp;doctype=reg&amp;abc=cba&amp;eli=true&amp;eliActId=435669&amp;regactid=4356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9045" cy="7612380"/>
                    </a:xfrm>
                    <a:prstGeom prst="rect">
                      <a:avLst/>
                    </a:prstGeom>
                    <a:noFill/>
                    <a:ln>
                      <a:noFill/>
                    </a:ln>
                  </pic:spPr>
                </pic:pic>
              </a:graphicData>
            </a:graphic>
          </wp:inline>
        </w:drawing>
      </w:r>
    </w:p>
    <w:p w:rsidR="000241D5" w:rsidRPr="000241D5" w:rsidRDefault="000241D5">
      <w:pPr>
        <w:ind w:left="160"/>
        <w:rPr>
          <w:rFonts w:ascii="Arial" w:hAnsi="Arial" w:cs="Arial"/>
          <w:sz w:val="20"/>
        </w:rPr>
      </w:pPr>
    </w:p>
    <w:sectPr w:rsidR="000241D5" w:rsidRPr="000241D5" w:rsidSect="000241D5">
      <w:footerReference w:type="default" r:id="rId16"/>
      <w:type w:val="continuous"/>
      <w:pgSz w:w="12380" w:h="15630"/>
      <w:pgMar w:top="260" w:right="280" w:bottom="840" w:left="709" w:header="720" w:footer="36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BA7" w:rsidRDefault="003A4BA7" w:rsidP="006704ED">
      <w:r>
        <w:separator/>
      </w:r>
    </w:p>
  </w:endnote>
  <w:endnote w:type="continuationSeparator" w:id="0">
    <w:p w:rsidR="003A4BA7" w:rsidRDefault="003A4BA7" w:rsidP="00670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inherit">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Verdana!importan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1D5" w:rsidRDefault="000241D5">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A4BA7">
      <w:rPr>
        <w:caps/>
        <w:noProof/>
        <w:color w:val="4F81BD" w:themeColor="accent1"/>
      </w:rPr>
      <w:t>1</w:t>
    </w:r>
    <w:r>
      <w:rPr>
        <w:caps/>
        <w:noProof/>
        <w:color w:val="4F81BD" w:themeColor="accent1"/>
      </w:rPr>
      <w:fldChar w:fldCharType="end"/>
    </w:r>
  </w:p>
  <w:p w:rsidR="000241D5" w:rsidRDefault="000241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BA7" w:rsidRDefault="003A4BA7" w:rsidP="006704ED">
      <w:r>
        <w:separator/>
      </w:r>
    </w:p>
  </w:footnote>
  <w:footnote w:type="continuationSeparator" w:id="0">
    <w:p w:rsidR="003A4BA7" w:rsidRDefault="003A4BA7" w:rsidP="006704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hideSpellingErrors/>
  <w:hideGrammaticalErrors/>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405CC"/>
    <w:rsid w:val="000241D5"/>
    <w:rsid w:val="003A4BA7"/>
    <w:rsid w:val="006704ED"/>
    <w:rsid w:val="008405CC"/>
    <w:rsid w:val="00D5442D"/>
    <w:rsid w:val="00EA0AFB"/>
    <w:rsid w:val="00FB7C7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E67CA5"/>
  <w15:docId w15:val="{C777E262-271D-4FC3-9B89-DC4BA2276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9"/>
    <w:qFormat/>
    <w:rsid w:val="000241D5"/>
    <w:pPr>
      <w:widowControl/>
      <w:autoSpaceDE/>
      <w:autoSpaceDN/>
      <w:spacing w:before="100" w:beforeAutospacing="1" w:after="100" w:afterAutospacing="1"/>
      <w:outlineLvl w:val="0"/>
    </w:pPr>
    <w:rPr>
      <w:rFonts w:ascii="inherit" w:eastAsia="Times New Roman" w:hAnsi="inherit" w:cs="Arial"/>
      <w:kern w:val="36"/>
      <w:sz w:val="48"/>
      <w:szCs w:val="48"/>
      <w:lang w:val="sr-Latn-RS" w:eastAsia="sr-Latn-RS"/>
    </w:rPr>
  </w:style>
  <w:style w:type="paragraph" w:styleId="Heading2">
    <w:name w:val="heading 2"/>
    <w:basedOn w:val="Normal"/>
    <w:link w:val="Heading2Char"/>
    <w:uiPriority w:val="9"/>
    <w:qFormat/>
    <w:rsid w:val="000241D5"/>
    <w:pPr>
      <w:widowControl/>
      <w:autoSpaceDE/>
      <w:autoSpaceDN/>
      <w:spacing w:before="100" w:beforeAutospacing="1" w:after="100" w:afterAutospacing="1"/>
      <w:outlineLvl w:val="1"/>
    </w:pPr>
    <w:rPr>
      <w:rFonts w:ascii="inherit" w:eastAsia="Times New Roman" w:hAnsi="inherit" w:cs="Arial"/>
      <w:sz w:val="36"/>
      <w:szCs w:val="36"/>
      <w:lang w:val="sr-Latn-RS" w:eastAsia="sr-Latn-RS"/>
    </w:rPr>
  </w:style>
  <w:style w:type="paragraph" w:styleId="Heading3">
    <w:name w:val="heading 3"/>
    <w:basedOn w:val="Normal"/>
    <w:link w:val="Heading3Char"/>
    <w:uiPriority w:val="9"/>
    <w:qFormat/>
    <w:rsid w:val="000241D5"/>
    <w:pPr>
      <w:widowControl/>
      <w:autoSpaceDE/>
      <w:autoSpaceDN/>
      <w:spacing w:before="100" w:beforeAutospacing="1" w:after="100" w:afterAutospacing="1"/>
      <w:outlineLvl w:val="2"/>
    </w:pPr>
    <w:rPr>
      <w:rFonts w:ascii="inherit" w:eastAsia="Times New Roman" w:hAnsi="inherit" w:cs="Arial"/>
      <w:sz w:val="27"/>
      <w:szCs w:val="27"/>
      <w:lang w:val="sr-Latn-RS" w:eastAsia="sr-Latn-RS"/>
    </w:rPr>
  </w:style>
  <w:style w:type="paragraph" w:styleId="Heading4">
    <w:name w:val="heading 4"/>
    <w:basedOn w:val="Normal"/>
    <w:link w:val="Heading4Char"/>
    <w:uiPriority w:val="9"/>
    <w:qFormat/>
    <w:rsid w:val="000241D5"/>
    <w:pPr>
      <w:widowControl/>
      <w:autoSpaceDE/>
      <w:autoSpaceDN/>
      <w:spacing w:before="100" w:beforeAutospacing="1" w:after="100" w:afterAutospacing="1"/>
      <w:outlineLvl w:val="3"/>
    </w:pPr>
    <w:rPr>
      <w:rFonts w:ascii="inherit" w:eastAsia="Times New Roman" w:hAnsi="inherit" w:cs="Arial"/>
      <w:sz w:val="27"/>
      <w:szCs w:val="27"/>
      <w:lang w:val="sr-Latn-RS" w:eastAsia="sr-Latn-RS"/>
    </w:rPr>
  </w:style>
  <w:style w:type="paragraph" w:styleId="Heading5">
    <w:name w:val="heading 5"/>
    <w:basedOn w:val="Normal"/>
    <w:link w:val="Heading5Char"/>
    <w:uiPriority w:val="9"/>
    <w:qFormat/>
    <w:rsid w:val="000241D5"/>
    <w:pPr>
      <w:widowControl/>
      <w:autoSpaceDE/>
      <w:autoSpaceDN/>
      <w:spacing w:before="100" w:beforeAutospacing="1" w:after="100" w:afterAutospacing="1"/>
      <w:outlineLvl w:val="4"/>
    </w:pPr>
    <w:rPr>
      <w:rFonts w:ascii="inherit" w:eastAsia="Times New Roman" w:hAnsi="inherit" w:cs="Arial"/>
      <w:sz w:val="21"/>
      <w:szCs w:val="21"/>
      <w:lang w:val="sr-Latn-RS" w:eastAsia="sr-Latn-RS"/>
    </w:rPr>
  </w:style>
  <w:style w:type="paragraph" w:styleId="Heading6">
    <w:name w:val="heading 6"/>
    <w:basedOn w:val="Normal"/>
    <w:link w:val="Heading6Char"/>
    <w:uiPriority w:val="9"/>
    <w:qFormat/>
    <w:rsid w:val="000241D5"/>
    <w:pPr>
      <w:widowControl/>
      <w:autoSpaceDE/>
      <w:autoSpaceDN/>
      <w:spacing w:before="100" w:beforeAutospacing="1" w:after="100" w:afterAutospacing="1"/>
      <w:outlineLvl w:val="5"/>
    </w:pPr>
    <w:rPr>
      <w:rFonts w:ascii="inherit" w:eastAsia="Times New Roman" w:hAnsi="inherit" w:cs="Arial"/>
      <w:sz w:val="15"/>
      <w:szCs w:val="15"/>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704ED"/>
    <w:pPr>
      <w:tabs>
        <w:tab w:val="center" w:pos="4536"/>
        <w:tab w:val="right" w:pos="9072"/>
      </w:tabs>
    </w:pPr>
  </w:style>
  <w:style w:type="character" w:customStyle="1" w:styleId="HeaderChar">
    <w:name w:val="Header Char"/>
    <w:basedOn w:val="DefaultParagraphFont"/>
    <w:link w:val="Header"/>
    <w:uiPriority w:val="99"/>
    <w:rsid w:val="006704ED"/>
  </w:style>
  <w:style w:type="paragraph" w:styleId="Footer">
    <w:name w:val="footer"/>
    <w:basedOn w:val="Normal"/>
    <w:link w:val="FooterChar"/>
    <w:uiPriority w:val="99"/>
    <w:unhideWhenUsed/>
    <w:rsid w:val="006704ED"/>
    <w:pPr>
      <w:tabs>
        <w:tab w:val="center" w:pos="4536"/>
        <w:tab w:val="right" w:pos="9072"/>
      </w:tabs>
    </w:pPr>
  </w:style>
  <w:style w:type="character" w:customStyle="1" w:styleId="FooterChar">
    <w:name w:val="Footer Char"/>
    <w:basedOn w:val="DefaultParagraphFont"/>
    <w:link w:val="Footer"/>
    <w:uiPriority w:val="99"/>
    <w:rsid w:val="006704ED"/>
  </w:style>
  <w:style w:type="paragraph" w:customStyle="1" w:styleId="NASLOVZLATO">
    <w:name w:val="NASLOV ZLATO"/>
    <w:basedOn w:val="Title"/>
    <w:qFormat/>
    <w:rsid w:val="006704ED"/>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6704ED"/>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6704ED"/>
    <w:pPr>
      <w:widowControl/>
      <w:shd w:val="clear" w:color="auto" w:fill="000000"/>
      <w:autoSpaceDE/>
      <w:autoSpaceDN/>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6704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04ED"/>
    <w:rPr>
      <w:rFonts w:asciiTheme="majorHAnsi" w:eastAsiaTheme="majorEastAsia" w:hAnsiTheme="majorHAnsi" w:cstheme="majorBidi"/>
      <w:spacing w:val="-10"/>
      <w:kern w:val="28"/>
      <w:sz w:val="56"/>
      <w:szCs w:val="56"/>
    </w:rPr>
  </w:style>
  <w:style w:type="paragraph" w:customStyle="1" w:styleId="clan">
    <w:name w:val="clan"/>
    <w:basedOn w:val="Normal"/>
    <w:rsid w:val="000241D5"/>
    <w:pPr>
      <w:widowControl/>
      <w:autoSpaceDE/>
      <w:autoSpaceDN/>
      <w:spacing w:before="330" w:after="120"/>
      <w:ind w:firstLine="480"/>
      <w:jc w:val="center"/>
    </w:pPr>
    <w:rPr>
      <w:rFonts w:ascii="Verdana" w:eastAsia="Times New Roman" w:hAnsi="Verdana" w:cs="Arial"/>
      <w:sz w:val="20"/>
      <w:szCs w:val="20"/>
      <w:lang w:val="sr-Latn-RS" w:eastAsia="sr-Latn-RS"/>
    </w:rPr>
  </w:style>
  <w:style w:type="paragraph" w:customStyle="1" w:styleId="basic-paragraph">
    <w:name w:val="basic-paragraph"/>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character" w:customStyle="1" w:styleId="Heading1Char">
    <w:name w:val="Heading 1 Char"/>
    <w:basedOn w:val="DefaultParagraphFont"/>
    <w:link w:val="Heading1"/>
    <w:uiPriority w:val="9"/>
    <w:rsid w:val="000241D5"/>
    <w:rPr>
      <w:rFonts w:ascii="inherit" w:eastAsia="Times New Roman" w:hAnsi="inherit" w:cs="Arial"/>
      <w:kern w:val="36"/>
      <w:sz w:val="48"/>
      <w:szCs w:val="48"/>
      <w:lang w:val="sr-Latn-RS" w:eastAsia="sr-Latn-RS"/>
    </w:rPr>
  </w:style>
  <w:style w:type="character" w:customStyle="1" w:styleId="Heading2Char">
    <w:name w:val="Heading 2 Char"/>
    <w:basedOn w:val="DefaultParagraphFont"/>
    <w:link w:val="Heading2"/>
    <w:uiPriority w:val="9"/>
    <w:rsid w:val="000241D5"/>
    <w:rPr>
      <w:rFonts w:ascii="inherit" w:eastAsia="Times New Roman" w:hAnsi="inherit" w:cs="Arial"/>
      <w:sz w:val="36"/>
      <w:szCs w:val="36"/>
      <w:lang w:val="sr-Latn-RS" w:eastAsia="sr-Latn-RS"/>
    </w:rPr>
  </w:style>
  <w:style w:type="character" w:customStyle="1" w:styleId="Heading3Char">
    <w:name w:val="Heading 3 Char"/>
    <w:basedOn w:val="DefaultParagraphFont"/>
    <w:link w:val="Heading3"/>
    <w:uiPriority w:val="9"/>
    <w:rsid w:val="000241D5"/>
    <w:rPr>
      <w:rFonts w:ascii="inherit" w:eastAsia="Times New Roman" w:hAnsi="inherit" w:cs="Arial"/>
      <w:sz w:val="27"/>
      <w:szCs w:val="27"/>
      <w:lang w:val="sr-Latn-RS" w:eastAsia="sr-Latn-RS"/>
    </w:rPr>
  </w:style>
  <w:style w:type="character" w:customStyle="1" w:styleId="Heading4Char">
    <w:name w:val="Heading 4 Char"/>
    <w:basedOn w:val="DefaultParagraphFont"/>
    <w:link w:val="Heading4"/>
    <w:uiPriority w:val="9"/>
    <w:rsid w:val="000241D5"/>
    <w:rPr>
      <w:rFonts w:ascii="inherit" w:eastAsia="Times New Roman" w:hAnsi="inherit" w:cs="Arial"/>
      <w:sz w:val="27"/>
      <w:szCs w:val="27"/>
      <w:lang w:val="sr-Latn-RS" w:eastAsia="sr-Latn-RS"/>
    </w:rPr>
  </w:style>
  <w:style w:type="character" w:customStyle="1" w:styleId="Heading5Char">
    <w:name w:val="Heading 5 Char"/>
    <w:basedOn w:val="DefaultParagraphFont"/>
    <w:link w:val="Heading5"/>
    <w:uiPriority w:val="9"/>
    <w:rsid w:val="000241D5"/>
    <w:rPr>
      <w:rFonts w:ascii="inherit" w:eastAsia="Times New Roman" w:hAnsi="inherit" w:cs="Arial"/>
      <w:sz w:val="21"/>
      <w:szCs w:val="21"/>
      <w:lang w:val="sr-Latn-RS" w:eastAsia="sr-Latn-RS"/>
    </w:rPr>
  </w:style>
  <w:style w:type="character" w:customStyle="1" w:styleId="Heading6Char">
    <w:name w:val="Heading 6 Char"/>
    <w:basedOn w:val="DefaultParagraphFont"/>
    <w:link w:val="Heading6"/>
    <w:uiPriority w:val="9"/>
    <w:rsid w:val="000241D5"/>
    <w:rPr>
      <w:rFonts w:ascii="inherit" w:eastAsia="Times New Roman" w:hAnsi="inherit" w:cs="Arial"/>
      <w:sz w:val="15"/>
      <w:szCs w:val="15"/>
      <w:lang w:val="sr-Latn-RS" w:eastAsia="sr-Latn-RS"/>
    </w:rPr>
  </w:style>
  <w:style w:type="character" w:styleId="Hyperlink">
    <w:name w:val="Hyperlink"/>
    <w:basedOn w:val="DefaultParagraphFont"/>
    <w:uiPriority w:val="99"/>
    <w:semiHidden/>
    <w:unhideWhenUsed/>
    <w:rsid w:val="000241D5"/>
    <w:rPr>
      <w:strike w:val="0"/>
      <w:dstrike w:val="0"/>
      <w:color w:val="337AB7"/>
      <w:u w:val="none"/>
      <w:effect w:val="none"/>
    </w:rPr>
  </w:style>
  <w:style w:type="character" w:styleId="FollowedHyperlink">
    <w:name w:val="FollowedHyperlink"/>
    <w:basedOn w:val="DefaultParagraphFont"/>
    <w:uiPriority w:val="99"/>
    <w:semiHidden/>
    <w:unhideWhenUsed/>
    <w:rsid w:val="000241D5"/>
    <w:rPr>
      <w:strike w:val="0"/>
      <w:dstrike w:val="0"/>
      <w:color w:val="337AB7"/>
      <w:u w:val="none"/>
      <w:effect w:val="none"/>
    </w:rPr>
  </w:style>
  <w:style w:type="paragraph" w:customStyle="1" w:styleId="msonormal0">
    <w:name w:val="msonormal"/>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styleId="NormalWeb">
    <w:name w:val="Normal (Web)"/>
    <w:basedOn w:val="Normal"/>
    <w:uiPriority w:val="99"/>
    <w:semiHidden/>
    <w:unhideWhenUsed/>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odluka-zakon">
    <w:name w:val="odluka-zakon"/>
    <w:basedOn w:val="Normal"/>
    <w:rsid w:val="000241D5"/>
    <w:pPr>
      <w:widowControl/>
      <w:autoSpaceDE/>
      <w:autoSpaceDN/>
      <w:spacing w:before="225" w:after="225"/>
      <w:ind w:firstLine="480"/>
      <w:jc w:val="center"/>
    </w:pPr>
    <w:rPr>
      <w:rFonts w:ascii="Verdana" w:eastAsia="Times New Roman" w:hAnsi="Verdana" w:cs="Arial"/>
      <w:b/>
      <w:bCs/>
      <w:sz w:val="20"/>
      <w:szCs w:val="20"/>
      <w:lang w:val="sr-Latn-RS" w:eastAsia="sr-Latn-RS"/>
    </w:rPr>
  </w:style>
  <w:style w:type="paragraph" w:customStyle="1" w:styleId="naslov">
    <w:name w:val="naslov"/>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ukaz">
    <w:name w:val="ukaz"/>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ukaz-naslov">
    <w:name w:val="ukaz-naslov"/>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broj">
    <w:name w:val="broj"/>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potpis">
    <w:name w:val="potpis"/>
    <w:basedOn w:val="Normal"/>
    <w:rsid w:val="000241D5"/>
    <w:pPr>
      <w:widowControl/>
      <w:autoSpaceDE/>
      <w:autoSpaceDN/>
      <w:spacing w:after="150"/>
      <w:ind w:firstLine="480"/>
      <w:jc w:val="right"/>
    </w:pPr>
    <w:rPr>
      <w:rFonts w:ascii="Verdana" w:eastAsia="Times New Roman" w:hAnsi="Verdana" w:cs="Arial"/>
      <w:sz w:val="20"/>
      <w:szCs w:val="20"/>
      <w:lang w:val="sr-Latn-RS" w:eastAsia="sr-Latn-RS"/>
    </w:rPr>
  </w:style>
  <w:style w:type="paragraph" w:customStyle="1" w:styleId="broj-grupa">
    <w:name w:val="broj-grupa"/>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kraj-grupa">
    <w:name w:val="kraj-grupa"/>
    <w:basedOn w:val="Normal"/>
    <w:rsid w:val="000241D5"/>
    <w:pPr>
      <w:widowControl/>
      <w:autoSpaceDE/>
      <w:autoSpaceDN/>
      <w:spacing w:after="150"/>
      <w:ind w:firstLine="480"/>
      <w:jc w:val="right"/>
    </w:pPr>
    <w:rPr>
      <w:rFonts w:ascii="Verdana" w:eastAsia="Times New Roman" w:hAnsi="Verdana" w:cs="Arial"/>
      <w:sz w:val="20"/>
      <w:szCs w:val="20"/>
      <w:lang w:val="sr-Latn-RS" w:eastAsia="sr-Latn-RS"/>
    </w:rPr>
  </w:style>
  <w:style w:type="paragraph" w:customStyle="1" w:styleId="firma">
    <w:name w:val="firma"/>
    <w:basedOn w:val="Normal"/>
    <w:rsid w:val="000241D5"/>
    <w:pPr>
      <w:widowControl/>
      <w:autoSpaceDE/>
      <w:autoSpaceDN/>
      <w:spacing w:after="150"/>
      <w:ind w:firstLine="480"/>
      <w:jc w:val="center"/>
    </w:pPr>
    <w:rPr>
      <w:rFonts w:ascii="Verdana" w:eastAsia="Times New Roman" w:hAnsi="Verdana" w:cs="Arial"/>
      <w:sz w:val="20"/>
      <w:szCs w:val="20"/>
      <w:lang w:val="sr-Latn-RS" w:eastAsia="sr-Latn-RS"/>
    </w:rPr>
  </w:style>
  <w:style w:type="paragraph" w:customStyle="1" w:styleId="resenje">
    <w:name w:val="resenje"/>
    <w:basedOn w:val="Normal"/>
    <w:rsid w:val="000241D5"/>
    <w:pPr>
      <w:widowControl/>
      <w:autoSpaceDE/>
      <w:autoSpaceDN/>
      <w:spacing w:after="150"/>
      <w:ind w:firstLine="480"/>
      <w:jc w:val="center"/>
    </w:pPr>
    <w:rPr>
      <w:rFonts w:ascii="Verdana" w:eastAsia="Times New Roman" w:hAnsi="Verdana" w:cs="Arial"/>
      <w:sz w:val="20"/>
      <w:szCs w:val="20"/>
      <w:lang w:val="sr-Latn-RS" w:eastAsia="sr-Latn-RS"/>
    </w:rPr>
  </w:style>
  <w:style w:type="paragraph" w:customStyle="1" w:styleId="f">
    <w:name w:val="f"/>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tilovimml">
    <w:name w:val="stilovi_mml"/>
    <w:basedOn w:val="Normal"/>
    <w:rsid w:val="000241D5"/>
    <w:pPr>
      <w:widowControl/>
      <w:autoSpaceDE/>
      <w:autoSpaceDN/>
      <w:spacing w:after="150"/>
      <w:ind w:firstLine="480"/>
      <w:jc w:val="center"/>
    </w:pPr>
    <w:rPr>
      <w:rFonts w:ascii="Verdana" w:eastAsia="Times New Roman" w:hAnsi="Verdana" w:cs="Arial"/>
      <w:caps/>
      <w:sz w:val="32"/>
      <w:szCs w:val="32"/>
      <w:lang w:val="sr-Latn-RS" w:eastAsia="sr-Latn-RS"/>
    </w:rPr>
  </w:style>
  <w:style w:type="paragraph" w:customStyle="1" w:styleId="akt">
    <w:name w:val="akt"/>
    <w:basedOn w:val="Normal"/>
    <w:rsid w:val="000241D5"/>
    <w:pPr>
      <w:widowControl/>
      <w:autoSpaceDE/>
      <w:autoSpaceDN/>
      <w:spacing w:after="150"/>
      <w:ind w:firstLine="480"/>
      <w:jc w:val="both"/>
    </w:pPr>
    <w:rPr>
      <w:rFonts w:ascii="Verdana" w:eastAsia="Times New Roman" w:hAnsi="Verdana" w:cs="Arial"/>
      <w:sz w:val="20"/>
      <w:szCs w:val="20"/>
      <w:lang w:val="sr-Latn-RS" w:eastAsia="sr-Latn-RS"/>
    </w:rPr>
  </w:style>
  <w:style w:type="paragraph" w:customStyle="1" w:styleId="aktsupa-mml">
    <w:name w:val="aktsupa-mml"/>
    <w:basedOn w:val="Normal"/>
    <w:rsid w:val="000241D5"/>
    <w:pPr>
      <w:widowControl/>
      <w:autoSpaceDE/>
      <w:autoSpaceDN/>
      <w:ind w:firstLine="480"/>
      <w:jc w:val="both"/>
    </w:pPr>
    <w:rPr>
      <w:rFonts w:ascii="Verdana" w:eastAsia="Times New Roman" w:hAnsi="Verdana" w:cs="Arial"/>
      <w:sz w:val="20"/>
      <w:szCs w:val="20"/>
      <w:lang w:val="sr-Latn-RS" w:eastAsia="sr-Latn-RS"/>
    </w:rPr>
  </w:style>
  <w:style w:type="paragraph" w:customStyle="1" w:styleId="naslovmml">
    <w:name w:val="naslov_mml"/>
    <w:basedOn w:val="Normal"/>
    <w:rsid w:val="000241D5"/>
    <w:pPr>
      <w:widowControl/>
      <w:autoSpaceDE/>
      <w:autoSpaceDN/>
      <w:ind w:firstLine="480"/>
      <w:jc w:val="center"/>
    </w:pPr>
    <w:rPr>
      <w:rFonts w:ascii="Verdana" w:eastAsia="Times New Roman" w:hAnsi="Verdana" w:cs="Arial"/>
      <w:b/>
      <w:bCs/>
      <w:sz w:val="20"/>
      <w:szCs w:val="20"/>
      <w:lang w:val="sr-Latn-RS" w:eastAsia="sr-Latn-RS"/>
    </w:rPr>
  </w:style>
  <w:style w:type="paragraph" w:customStyle="1" w:styleId="boldmml">
    <w:name w:val="bold_mml"/>
    <w:basedOn w:val="Normal"/>
    <w:rsid w:val="000241D5"/>
    <w:pPr>
      <w:widowControl/>
      <w:autoSpaceDE/>
      <w:autoSpaceDN/>
      <w:ind w:firstLine="480"/>
      <w:jc w:val="center"/>
    </w:pPr>
    <w:rPr>
      <w:rFonts w:ascii="Verdana" w:eastAsia="Times New Roman" w:hAnsi="Verdana" w:cs="Arial"/>
      <w:b/>
      <w:bCs/>
      <w:sz w:val="20"/>
      <w:szCs w:val="20"/>
      <w:lang w:val="sr-Latn-RS" w:eastAsia="sr-Latn-RS"/>
    </w:rPr>
  </w:style>
  <w:style w:type="paragraph" w:customStyle="1" w:styleId="bolditalikleft">
    <w:name w:val="bolditalikleft"/>
    <w:basedOn w:val="Normal"/>
    <w:rsid w:val="000241D5"/>
    <w:pPr>
      <w:widowControl/>
      <w:autoSpaceDE/>
      <w:autoSpaceDN/>
      <w:ind w:firstLine="480"/>
      <w:jc w:val="both"/>
    </w:pPr>
    <w:rPr>
      <w:rFonts w:ascii="Verdana" w:eastAsia="Times New Roman" w:hAnsi="Verdana" w:cs="Arial"/>
      <w:b/>
      <w:bCs/>
      <w:i/>
      <w:iCs/>
      <w:sz w:val="20"/>
      <w:szCs w:val="20"/>
      <w:lang w:val="sr-Latn-RS" w:eastAsia="sr-Latn-RS"/>
    </w:rPr>
  </w:style>
  <w:style w:type="paragraph" w:customStyle="1" w:styleId="boldleft">
    <w:name w:val="boldleft"/>
    <w:basedOn w:val="Normal"/>
    <w:rsid w:val="000241D5"/>
    <w:pPr>
      <w:widowControl/>
      <w:autoSpaceDE/>
      <w:autoSpaceDN/>
      <w:ind w:firstLine="480"/>
      <w:jc w:val="both"/>
    </w:pPr>
    <w:rPr>
      <w:rFonts w:ascii="Verdana" w:eastAsia="Times New Roman" w:hAnsi="Verdana" w:cs="Arial"/>
      <w:b/>
      <w:bCs/>
      <w:sz w:val="20"/>
      <w:szCs w:val="20"/>
      <w:lang w:val="sr-Latn-RS" w:eastAsia="sr-Latn-RS"/>
    </w:rPr>
  </w:style>
  <w:style w:type="paragraph" w:customStyle="1" w:styleId="italikmml">
    <w:name w:val="italik_mml"/>
    <w:basedOn w:val="Normal"/>
    <w:rsid w:val="000241D5"/>
    <w:pPr>
      <w:widowControl/>
      <w:autoSpaceDE/>
      <w:autoSpaceDN/>
      <w:ind w:firstLine="480"/>
      <w:jc w:val="center"/>
    </w:pPr>
    <w:rPr>
      <w:rFonts w:ascii="Verdana" w:eastAsia="Times New Roman" w:hAnsi="Verdana" w:cs="Arial"/>
      <w:i/>
      <w:iCs/>
      <w:sz w:val="20"/>
      <w:szCs w:val="20"/>
      <w:lang w:val="sr-Latn-RS" w:eastAsia="sr-Latn-RS"/>
    </w:rPr>
  </w:style>
  <w:style w:type="paragraph" w:customStyle="1" w:styleId="italikleft">
    <w:name w:val="italikleft"/>
    <w:basedOn w:val="Normal"/>
    <w:rsid w:val="000241D5"/>
    <w:pPr>
      <w:widowControl/>
      <w:autoSpaceDE/>
      <w:autoSpaceDN/>
      <w:ind w:firstLine="480"/>
      <w:jc w:val="both"/>
    </w:pPr>
    <w:rPr>
      <w:rFonts w:ascii="Verdana" w:eastAsia="Times New Roman" w:hAnsi="Verdana" w:cs="Arial"/>
      <w:i/>
      <w:iCs/>
      <w:sz w:val="20"/>
      <w:szCs w:val="20"/>
      <w:lang w:val="sr-Latn-RS" w:eastAsia="sr-Latn-RS"/>
    </w:rPr>
  </w:style>
  <w:style w:type="paragraph" w:customStyle="1" w:styleId="underlinemml">
    <w:name w:val="underline_mml"/>
    <w:basedOn w:val="Normal"/>
    <w:rsid w:val="000241D5"/>
    <w:pPr>
      <w:widowControl/>
      <w:autoSpaceDE/>
      <w:autoSpaceDN/>
      <w:spacing w:after="150"/>
      <w:ind w:firstLine="480"/>
      <w:jc w:val="center"/>
    </w:pPr>
    <w:rPr>
      <w:rFonts w:ascii="Verdana" w:eastAsia="Times New Roman" w:hAnsi="Verdana" w:cs="Arial"/>
      <w:sz w:val="20"/>
      <w:szCs w:val="20"/>
      <w:u w:val="single"/>
      <w:lang w:val="sr-Latn-RS" w:eastAsia="sr-Latn-RS"/>
    </w:rPr>
  </w:style>
  <w:style w:type="paragraph" w:customStyle="1" w:styleId="underlineleft">
    <w:name w:val="underlineleft"/>
    <w:basedOn w:val="Normal"/>
    <w:rsid w:val="000241D5"/>
    <w:pPr>
      <w:widowControl/>
      <w:autoSpaceDE/>
      <w:autoSpaceDN/>
      <w:spacing w:after="150"/>
      <w:ind w:firstLine="480"/>
    </w:pPr>
    <w:rPr>
      <w:rFonts w:ascii="Verdana" w:eastAsia="Times New Roman" w:hAnsi="Verdana" w:cs="Arial"/>
      <w:sz w:val="20"/>
      <w:szCs w:val="20"/>
      <w:u w:val="single"/>
      <w:lang w:val="sr-Latn-RS" w:eastAsia="sr-Latn-RS"/>
    </w:rPr>
  </w:style>
  <w:style w:type="paragraph" w:customStyle="1" w:styleId="spacijamml">
    <w:name w:val="spacija_mml"/>
    <w:basedOn w:val="Normal"/>
    <w:rsid w:val="000241D5"/>
    <w:pPr>
      <w:widowControl/>
      <w:autoSpaceDE/>
      <w:autoSpaceDN/>
      <w:ind w:firstLine="480"/>
      <w:jc w:val="center"/>
    </w:pPr>
    <w:rPr>
      <w:rFonts w:ascii="Verdana" w:eastAsia="Times New Roman" w:hAnsi="Verdana" w:cs="Arial"/>
      <w:spacing w:val="27"/>
      <w:sz w:val="20"/>
      <w:szCs w:val="20"/>
      <w:lang w:val="sr-Latn-RS" w:eastAsia="sr-Latn-RS"/>
    </w:rPr>
  </w:style>
  <w:style w:type="paragraph" w:customStyle="1" w:styleId="centarmml">
    <w:name w:val="centar_mml"/>
    <w:basedOn w:val="Normal"/>
    <w:rsid w:val="000241D5"/>
    <w:pPr>
      <w:widowControl/>
      <w:autoSpaceDE/>
      <w:autoSpaceDN/>
      <w:ind w:firstLine="480"/>
      <w:jc w:val="center"/>
    </w:pPr>
    <w:rPr>
      <w:rFonts w:ascii="Verdana" w:eastAsia="Times New Roman" w:hAnsi="Verdana" w:cs="Arial"/>
      <w:sz w:val="20"/>
      <w:szCs w:val="20"/>
      <w:lang w:val="sr-Latn-RS" w:eastAsia="sr-Latn-RS"/>
    </w:rPr>
  </w:style>
  <w:style w:type="paragraph" w:customStyle="1" w:styleId="footnote">
    <w:name w:val="footnote"/>
    <w:basedOn w:val="Normal"/>
    <w:rsid w:val="000241D5"/>
    <w:pPr>
      <w:widowControl/>
      <w:autoSpaceDE/>
      <w:autoSpaceDN/>
      <w:spacing w:after="150"/>
      <w:ind w:firstLine="480"/>
      <w:jc w:val="both"/>
    </w:pPr>
    <w:rPr>
      <w:rFonts w:ascii="Verdana" w:eastAsia="Times New Roman" w:hAnsi="Verdana" w:cs="Arial"/>
      <w:i/>
      <w:iCs/>
      <w:sz w:val="20"/>
      <w:szCs w:val="20"/>
      <w:lang w:val="sr-Latn-RS" w:eastAsia="sr-Latn-RS"/>
    </w:rPr>
  </w:style>
  <w:style w:type="paragraph" w:customStyle="1" w:styleId="superscript">
    <w:name w:val="superscript"/>
    <w:basedOn w:val="Normal"/>
    <w:rsid w:val="000241D5"/>
    <w:pPr>
      <w:widowControl/>
      <w:autoSpaceDE/>
      <w:autoSpaceDN/>
      <w:spacing w:after="150"/>
      <w:ind w:firstLine="480"/>
    </w:pPr>
    <w:rPr>
      <w:rFonts w:ascii="Verdana" w:eastAsia="Times New Roman" w:hAnsi="Verdana" w:cs="Arial"/>
      <w:sz w:val="20"/>
      <w:szCs w:val="20"/>
      <w:vertAlign w:val="superscript"/>
      <w:lang w:val="sr-Latn-RS" w:eastAsia="sr-Latn-RS"/>
    </w:rPr>
  </w:style>
  <w:style w:type="paragraph" w:customStyle="1" w:styleId="subscript">
    <w:name w:val="subscript"/>
    <w:basedOn w:val="Normal"/>
    <w:rsid w:val="000241D5"/>
    <w:pPr>
      <w:widowControl/>
      <w:autoSpaceDE/>
      <w:autoSpaceDN/>
      <w:spacing w:after="150"/>
      <w:ind w:firstLine="480"/>
    </w:pPr>
    <w:rPr>
      <w:rFonts w:ascii="Verdana" w:eastAsia="Times New Roman" w:hAnsi="Verdana" w:cs="Arial"/>
      <w:sz w:val="20"/>
      <w:szCs w:val="20"/>
      <w:vertAlign w:val="subscript"/>
      <w:lang w:val="sr-Latn-RS" w:eastAsia="sr-Latn-RS"/>
    </w:rPr>
  </w:style>
  <w:style w:type="paragraph" w:customStyle="1" w:styleId="tabela-podnaslov">
    <w:name w:val="tabela-podnaslov"/>
    <w:basedOn w:val="Normal"/>
    <w:rsid w:val="000241D5"/>
    <w:pPr>
      <w:widowControl/>
      <w:pBdr>
        <w:top w:val="single" w:sz="6" w:space="4" w:color="808080"/>
        <w:left w:val="single" w:sz="6" w:space="0" w:color="808080"/>
        <w:bottom w:val="single" w:sz="6" w:space="4" w:color="808080"/>
        <w:right w:val="single" w:sz="6" w:space="0" w:color="808080"/>
      </w:pBdr>
      <w:shd w:val="clear" w:color="auto" w:fill="D8D8D8"/>
      <w:autoSpaceDE/>
      <w:autoSpaceDN/>
      <w:ind w:firstLine="480"/>
      <w:jc w:val="center"/>
    </w:pPr>
    <w:rPr>
      <w:rFonts w:ascii="Verdana!important" w:eastAsia="Times New Roman" w:hAnsi="Verdana!important" w:cs="Arial"/>
      <w:caps/>
      <w:sz w:val="20"/>
      <w:szCs w:val="20"/>
      <w:lang w:val="sr-Latn-RS" w:eastAsia="sr-Latn-RS"/>
    </w:rPr>
  </w:style>
  <w:style w:type="paragraph" w:customStyle="1" w:styleId="tabela-izvor">
    <w:name w:val="tabela-izvor"/>
    <w:basedOn w:val="Normal"/>
    <w:rsid w:val="000241D5"/>
    <w:pPr>
      <w:widowControl/>
      <w:pBdr>
        <w:top w:val="single" w:sz="6" w:space="0" w:color="808080"/>
        <w:left w:val="single" w:sz="6" w:space="0" w:color="808080"/>
        <w:bottom w:val="single" w:sz="6" w:space="0" w:color="808080"/>
        <w:right w:val="single" w:sz="6" w:space="0" w:color="808080"/>
      </w:pBdr>
      <w:shd w:val="clear" w:color="auto" w:fill="D8D8D8"/>
      <w:autoSpaceDE/>
      <w:autoSpaceDN/>
      <w:spacing w:after="150"/>
      <w:ind w:firstLine="480"/>
    </w:pPr>
    <w:rPr>
      <w:rFonts w:ascii="Verdana!important" w:eastAsia="Times New Roman" w:hAnsi="Verdana!important" w:cs="Arial"/>
      <w:i/>
      <w:iCs/>
      <w:sz w:val="20"/>
      <w:szCs w:val="20"/>
      <w:lang w:val="sr-Latn-RS" w:eastAsia="sr-Latn-RS"/>
    </w:rPr>
  </w:style>
  <w:style w:type="paragraph" w:customStyle="1" w:styleId="tabela-citat">
    <w:name w:val="tabela-citat"/>
    <w:basedOn w:val="Normal"/>
    <w:rsid w:val="000241D5"/>
    <w:pPr>
      <w:widowControl/>
      <w:pBdr>
        <w:top w:val="single" w:sz="6" w:space="0" w:color="808080"/>
        <w:left w:val="single" w:sz="6" w:space="0" w:color="808080"/>
        <w:bottom w:val="single" w:sz="6" w:space="0" w:color="808080"/>
        <w:right w:val="single" w:sz="6" w:space="0" w:color="808080"/>
      </w:pBdr>
      <w:shd w:val="clear" w:color="auto" w:fill="F5F5F5"/>
      <w:autoSpaceDE/>
      <w:autoSpaceDN/>
      <w:spacing w:after="150"/>
      <w:ind w:firstLine="480"/>
    </w:pPr>
    <w:rPr>
      <w:rFonts w:ascii="Verdana!important" w:eastAsia="Times New Roman" w:hAnsi="Verdana!important" w:cs="Arial"/>
      <w:i/>
      <w:iCs/>
      <w:lang w:val="sr-Latn-RS" w:eastAsia="sr-Latn-RS"/>
    </w:rPr>
  </w:style>
  <w:style w:type="paragraph" w:customStyle="1" w:styleId="tabela-sa-borderom-mml">
    <w:name w:val="tabela-sa-borderom-mml"/>
    <w:basedOn w:val="Normal"/>
    <w:rsid w:val="000241D5"/>
    <w:pPr>
      <w:widowControl/>
      <w:pBdr>
        <w:top w:val="single" w:sz="6" w:space="0" w:color="808080"/>
        <w:left w:val="single" w:sz="6" w:space="0" w:color="808080"/>
        <w:bottom w:val="single" w:sz="6" w:space="0" w:color="808080"/>
        <w:right w:val="single" w:sz="6" w:space="0" w:color="808080"/>
      </w:pBdr>
      <w:shd w:val="clear" w:color="auto" w:fill="F5F5F5"/>
      <w:autoSpaceDE/>
      <w:autoSpaceDN/>
      <w:ind w:firstLine="480"/>
    </w:pPr>
    <w:rPr>
      <w:rFonts w:ascii="Verdana!important" w:eastAsia="Times New Roman" w:hAnsi="Verdana!important" w:cs="Arial"/>
      <w:i/>
      <w:iCs/>
      <w:sz w:val="20"/>
      <w:szCs w:val="20"/>
      <w:lang w:val="sr-Latn-RS" w:eastAsia="sr-Latn-RS"/>
    </w:rPr>
  </w:style>
  <w:style w:type="paragraph" w:customStyle="1" w:styleId="tabela-autor">
    <w:name w:val="tabela-autor"/>
    <w:basedOn w:val="Normal"/>
    <w:rsid w:val="000241D5"/>
    <w:pPr>
      <w:widowControl/>
      <w:pBdr>
        <w:top w:val="single" w:sz="6" w:space="15" w:color="808080"/>
        <w:left w:val="single" w:sz="6" w:space="0" w:color="808080"/>
        <w:bottom w:val="single" w:sz="6" w:space="15" w:color="808080"/>
        <w:right w:val="single" w:sz="6" w:space="0" w:color="808080"/>
      </w:pBdr>
      <w:shd w:val="clear" w:color="auto" w:fill="F5F5F5"/>
      <w:autoSpaceDE/>
      <w:autoSpaceDN/>
      <w:ind w:firstLine="480"/>
      <w:jc w:val="right"/>
    </w:pPr>
    <w:rPr>
      <w:rFonts w:ascii="Verdana!important" w:eastAsia="Times New Roman" w:hAnsi="Verdana!important" w:cs="Arial"/>
      <w:i/>
      <w:iCs/>
      <w:sz w:val="20"/>
      <w:szCs w:val="20"/>
      <w:lang w:val="sr-Latn-RS" w:eastAsia="sr-Latn-RS"/>
    </w:rPr>
  </w:style>
  <w:style w:type="paragraph" w:customStyle="1" w:styleId="stilovisudskapraksa">
    <w:name w:val="stilovi_sudska_praksa"/>
    <w:basedOn w:val="Normal"/>
    <w:rsid w:val="000241D5"/>
    <w:pPr>
      <w:widowControl/>
      <w:autoSpaceDE/>
      <w:autoSpaceDN/>
      <w:spacing w:after="150"/>
      <w:ind w:firstLine="480"/>
      <w:jc w:val="center"/>
    </w:pPr>
    <w:rPr>
      <w:rFonts w:ascii="Verdana" w:eastAsia="Times New Roman" w:hAnsi="Verdana" w:cs="Arial"/>
      <w:caps/>
      <w:sz w:val="32"/>
      <w:szCs w:val="32"/>
      <w:lang w:val="sr-Latn-RS" w:eastAsia="sr-Latn-RS"/>
    </w:rPr>
  </w:style>
  <w:style w:type="paragraph" w:customStyle="1" w:styleId="sentencanaslov">
    <w:name w:val="sentenca_naslov"/>
    <w:basedOn w:val="Normal"/>
    <w:rsid w:val="000241D5"/>
    <w:pPr>
      <w:widowControl/>
      <w:autoSpaceDE/>
      <w:autoSpaceDN/>
      <w:spacing w:before="270" w:after="270"/>
      <w:ind w:firstLine="480"/>
    </w:pPr>
    <w:rPr>
      <w:rFonts w:ascii="Verdana" w:eastAsia="Times New Roman" w:hAnsi="Verdana" w:cs="Arial"/>
      <w:b/>
      <w:bCs/>
      <w:sz w:val="20"/>
      <w:szCs w:val="20"/>
      <w:lang w:val="sr-Latn-RS" w:eastAsia="sr-Latn-RS"/>
    </w:rPr>
  </w:style>
  <w:style w:type="paragraph" w:customStyle="1" w:styleId="izvodizpresude">
    <w:name w:val="izvod_iz_presude"/>
    <w:basedOn w:val="Normal"/>
    <w:rsid w:val="000241D5"/>
    <w:pPr>
      <w:widowControl/>
      <w:autoSpaceDE/>
      <w:autoSpaceDN/>
      <w:ind w:firstLine="480"/>
    </w:pPr>
    <w:rPr>
      <w:rFonts w:ascii="Verdana" w:eastAsia="Times New Roman" w:hAnsi="Verdana" w:cs="Arial"/>
      <w:b/>
      <w:bCs/>
      <w:sz w:val="20"/>
      <w:szCs w:val="20"/>
      <w:lang w:val="sr-Latn-RS" w:eastAsia="sr-Latn-RS"/>
    </w:rPr>
  </w:style>
  <w:style w:type="paragraph" w:customStyle="1" w:styleId="sentenca">
    <w:name w:val="sentenca"/>
    <w:basedOn w:val="Normal"/>
    <w:rsid w:val="000241D5"/>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eastAsia="Times New Roman" w:hAnsi="Verdana" w:cs="Arial"/>
      <w:b/>
      <w:bCs/>
      <w:sz w:val="20"/>
      <w:szCs w:val="20"/>
      <w:lang w:val="sr-Latn-RS" w:eastAsia="sr-Latn-RS"/>
    </w:rPr>
  </w:style>
  <w:style w:type="paragraph" w:customStyle="1" w:styleId="tabela-izvod">
    <w:name w:val="tabela-izvod"/>
    <w:basedOn w:val="Normal"/>
    <w:rsid w:val="000241D5"/>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eastAsia="Times New Roman" w:hAnsi="Verdana" w:cs="Arial"/>
      <w:sz w:val="20"/>
      <w:szCs w:val="20"/>
      <w:lang w:val="sr-Latn-RS" w:eastAsia="sr-Latn-RS"/>
    </w:rPr>
  </w:style>
  <w:style w:type="paragraph" w:customStyle="1" w:styleId="stiloviregistar">
    <w:name w:val="stilovi_registar"/>
    <w:basedOn w:val="Normal"/>
    <w:rsid w:val="000241D5"/>
    <w:pPr>
      <w:widowControl/>
      <w:autoSpaceDE/>
      <w:autoSpaceDN/>
      <w:spacing w:after="150"/>
      <w:ind w:firstLine="480"/>
      <w:jc w:val="center"/>
    </w:pPr>
    <w:rPr>
      <w:rFonts w:ascii="Verdana" w:eastAsia="Times New Roman" w:hAnsi="Verdana" w:cs="Arial"/>
      <w:caps/>
      <w:sz w:val="32"/>
      <w:szCs w:val="32"/>
      <w:lang w:val="sr-Latn-RS" w:eastAsia="sr-Latn-RS"/>
    </w:rPr>
  </w:style>
  <w:style w:type="paragraph" w:customStyle="1" w:styleId="bold">
    <w:name w:val="bold"/>
    <w:basedOn w:val="Normal"/>
    <w:rsid w:val="000241D5"/>
    <w:pPr>
      <w:widowControl/>
      <w:autoSpaceDE/>
      <w:autoSpaceDN/>
      <w:spacing w:before="330" w:after="120"/>
      <w:ind w:firstLine="480"/>
      <w:jc w:val="center"/>
    </w:pPr>
    <w:rPr>
      <w:rFonts w:ascii="Verdana" w:eastAsia="Times New Roman" w:hAnsi="Verdana" w:cs="Arial"/>
      <w:b/>
      <w:bCs/>
      <w:sz w:val="20"/>
      <w:szCs w:val="20"/>
      <w:lang w:val="sr-Latn-RS" w:eastAsia="sr-Latn-RS"/>
    </w:rPr>
  </w:style>
  <w:style w:type="paragraph" w:customStyle="1" w:styleId="italik">
    <w:name w:val="italik"/>
    <w:basedOn w:val="Normal"/>
    <w:rsid w:val="000241D5"/>
    <w:pPr>
      <w:widowControl/>
      <w:autoSpaceDE/>
      <w:autoSpaceDN/>
      <w:spacing w:before="330" w:after="120"/>
      <w:ind w:firstLine="480"/>
      <w:jc w:val="center"/>
    </w:pPr>
    <w:rPr>
      <w:rFonts w:ascii="Verdana" w:eastAsia="Times New Roman" w:hAnsi="Verdana" w:cs="Arial"/>
      <w:i/>
      <w:iCs/>
      <w:sz w:val="20"/>
      <w:szCs w:val="20"/>
      <w:lang w:val="sr-Latn-RS" w:eastAsia="sr-Latn-RS"/>
    </w:rPr>
  </w:style>
  <w:style w:type="paragraph" w:customStyle="1" w:styleId="underline">
    <w:name w:val="underline"/>
    <w:basedOn w:val="Normal"/>
    <w:rsid w:val="000241D5"/>
    <w:pPr>
      <w:widowControl/>
      <w:autoSpaceDE/>
      <w:autoSpaceDN/>
      <w:spacing w:before="330" w:after="120"/>
      <w:ind w:firstLine="480"/>
      <w:jc w:val="center"/>
    </w:pPr>
    <w:rPr>
      <w:rFonts w:ascii="Verdana" w:eastAsia="Times New Roman" w:hAnsi="Verdana" w:cs="Arial"/>
      <w:sz w:val="20"/>
      <w:szCs w:val="20"/>
      <w:u w:val="single"/>
      <w:lang w:val="sr-Latn-RS" w:eastAsia="sr-Latn-RS"/>
    </w:rPr>
  </w:style>
  <w:style w:type="paragraph" w:customStyle="1" w:styleId="spacija">
    <w:name w:val="spacija"/>
    <w:basedOn w:val="Normal"/>
    <w:rsid w:val="000241D5"/>
    <w:pPr>
      <w:widowControl/>
      <w:autoSpaceDE/>
      <w:autoSpaceDN/>
      <w:spacing w:before="330" w:after="120"/>
      <w:ind w:firstLine="480"/>
      <w:jc w:val="center"/>
    </w:pPr>
    <w:rPr>
      <w:rFonts w:ascii="Verdana" w:eastAsia="Times New Roman" w:hAnsi="Verdana" w:cs="Arial"/>
      <w:spacing w:val="27"/>
      <w:sz w:val="20"/>
      <w:szCs w:val="20"/>
      <w:lang w:val="sr-Latn-RS" w:eastAsia="sr-Latn-RS"/>
    </w:rPr>
  </w:style>
  <w:style w:type="paragraph" w:customStyle="1" w:styleId="centar">
    <w:name w:val="centar"/>
    <w:basedOn w:val="Normal"/>
    <w:rsid w:val="000241D5"/>
    <w:pPr>
      <w:widowControl/>
      <w:autoSpaceDE/>
      <w:autoSpaceDN/>
      <w:spacing w:before="225" w:after="120"/>
      <w:ind w:firstLine="480"/>
      <w:jc w:val="center"/>
    </w:pPr>
    <w:rPr>
      <w:rFonts w:ascii="Verdana" w:eastAsia="Times New Roman" w:hAnsi="Verdana" w:cs="Arial"/>
      <w:sz w:val="20"/>
      <w:szCs w:val="20"/>
      <w:lang w:val="sr-Latn-RS" w:eastAsia="sr-Latn-RS"/>
    </w:rPr>
  </w:style>
  <w:style w:type="paragraph" w:customStyle="1" w:styleId="tabela-sa-borderom">
    <w:name w:val="tabela-sa-borderom"/>
    <w:basedOn w:val="Normal"/>
    <w:rsid w:val="000241D5"/>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eastAsia="Times New Roman" w:hAnsi="Verdana" w:cs="Arial"/>
      <w:sz w:val="20"/>
      <w:szCs w:val="20"/>
      <w:lang w:val="sr-Latn-RS" w:eastAsia="sr-Latn-RS"/>
    </w:rPr>
  </w:style>
  <w:style w:type="paragraph" w:customStyle="1" w:styleId="tabela-bez-bordera">
    <w:name w:val="tabela-bez-bordera"/>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edakcijskipreciscentekst">
    <w:name w:val="redakcijskipreciscentekst"/>
    <w:basedOn w:val="Normal"/>
    <w:rsid w:val="000241D5"/>
    <w:pPr>
      <w:widowControl/>
      <w:pBdr>
        <w:top w:val="single" w:sz="6" w:space="2" w:color="auto"/>
        <w:left w:val="single" w:sz="6" w:space="4" w:color="auto"/>
        <w:bottom w:val="single" w:sz="6" w:space="2" w:color="auto"/>
        <w:right w:val="single" w:sz="6" w:space="4" w:color="auto"/>
      </w:pBdr>
      <w:autoSpaceDE/>
      <w:autoSpaceDN/>
      <w:spacing w:before="75" w:after="150"/>
      <w:ind w:right="75" w:firstLine="480"/>
      <w:jc w:val="right"/>
    </w:pPr>
    <w:rPr>
      <w:rFonts w:ascii="Verdana" w:eastAsia="Times New Roman" w:hAnsi="Verdana" w:cs="Arial"/>
      <w:b/>
      <w:bCs/>
      <w:sz w:val="20"/>
      <w:szCs w:val="20"/>
      <w:lang w:val="sr-Latn-RS" w:eastAsia="sr-Latn-RS"/>
    </w:rPr>
  </w:style>
  <w:style w:type="paragraph" w:customStyle="1" w:styleId="nevazeciakt">
    <w:name w:val="nevazeciakt"/>
    <w:basedOn w:val="Normal"/>
    <w:rsid w:val="000241D5"/>
    <w:pPr>
      <w:widowControl/>
      <w:pBdr>
        <w:top w:val="single" w:sz="6" w:space="2" w:color="auto"/>
        <w:left w:val="single" w:sz="6" w:space="4" w:color="auto"/>
        <w:bottom w:val="single" w:sz="6" w:space="2" w:color="auto"/>
        <w:right w:val="single" w:sz="6" w:space="4" w:color="auto"/>
      </w:pBdr>
      <w:autoSpaceDE/>
      <w:autoSpaceDN/>
      <w:spacing w:before="600" w:after="150"/>
      <w:ind w:right="75" w:firstLine="480"/>
      <w:jc w:val="right"/>
    </w:pPr>
    <w:rPr>
      <w:rFonts w:ascii="Verdana" w:eastAsia="Times New Roman" w:hAnsi="Verdana" w:cs="Arial"/>
      <w:b/>
      <w:bCs/>
      <w:color w:val="FF0000"/>
      <w:sz w:val="20"/>
      <w:szCs w:val="20"/>
      <w:lang w:val="sr-Latn-RS" w:eastAsia="sr-Latn-RS"/>
    </w:rPr>
  </w:style>
  <w:style w:type="paragraph" w:customStyle="1" w:styleId="v2-clan-left-1">
    <w:name w:val="v2-clan-left-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2">
    <w:name w:val="v2-clan-left-2"/>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3">
    <w:name w:val="v2-clan-left-3"/>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4">
    <w:name w:val="v2-clan-left-4"/>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5">
    <w:name w:val="v2-clan-left-5"/>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6">
    <w:name w:val="v2-clan-left-6"/>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7">
    <w:name w:val="v2-clan-left-7"/>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8">
    <w:name w:val="v2-clan-left-8"/>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9">
    <w:name w:val="v2-clan-left-9"/>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0">
    <w:name w:val="v2-clan-left-10"/>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underline-left">
    <w:name w:val="v2-underline-left"/>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spacija-left-1">
    <w:name w:val="v2-spacija-left-1"/>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2">
    <w:name w:val="v2-spacija-left-2"/>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3">
    <w:name w:val="v2-spacija-left-3"/>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italik-left-1">
    <w:name w:val="v2-italik-left-1"/>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2">
    <w:name w:val="v2-italik-left-2"/>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3">
    <w:name w:val="v2-italik-left-3"/>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bold-left-1">
    <w:name w:val="v2-bold-left-1"/>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2">
    <w:name w:val="v2-bold-left-2"/>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3">
    <w:name w:val="v2-bold-left-3"/>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clan-1">
    <w:name w:val="v2-clan-1"/>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2">
    <w:name w:val="v2-clan-2"/>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3">
    <w:name w:val="v2-clan-3"/>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underline">
    <w:name w:val="v2-underline"/>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spacija-1">
    <w:name w:val="v2-spacija-1"/>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2">
    <w:name w:val="v2-spacija-2"/>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3">
    <w:name w:val="v2-spacija-3"/>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italik-1">
    <w:name w:val="v2-italik-1"/>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2">
    <w:name w:val="v2-italik-2"/>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3">
    <w:name w:val="v2-italik-3"/>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bold-1">
    <w:name w:val="v2-bold-1"/>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2">
    <w:name w:val="v2-bold-2"/>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3">
    <w:name w:val="v2-bold-3"/>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clan-verzal-1">
    <w:name w:val="v2-clan-verzal-1"/>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2">
    <w:name w:val="v2-clan-verzal-2"/>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italik-verzal-1">
    <w:name w:val="v2-italik-verzal-1"/>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2">
    <w:name w:val="v2-italik-verzal-2"/>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3">
    <w:name w:val="v2-italik-verzal-3"/>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bold-verzal-1">
    <w:name w:val="v2-bold-verzal-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2">
    <w:name w:val="v2-bold-verzal-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3">
    <w:name w:val="v2-bold-verzal-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
    <w:name w:val="v2-naslov-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2">
    <w:name w:val="v2-naslov-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3">
    <w:name w:val="v2-naslov-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
    <w:name w:val="v2-odluka-zakon-1"/>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2">
    <w:name w:val="v2-odluka-zakon-2"/>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3">
    <w:name w:val="v2-odluka-zakon-3"/>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pronadjen">
    <w:name w:val="pronadjen"/>
    <w:basedOn w:val="Normal"/>
    <w:rsid w:val="000241D5"/>
    <w:pPr>
      <w:widowControl/>
      <w:shd w:val="clear" w:color="auto" w:fill="FFFF00"/>
      <w:autoSpaceDE/>
      <w:autoSpaceDN/>
      <w:spacing w:after="150"/>
      <w:ind w:firstLine="480"/>
    </w:pPr>
    <w:rPr>
      <w:rFonts w:ascii="Verdana" w:eastAsia="Times New Roman" w:hAnsi="Verdana" w:cs="Arial"/>
      <w:sz w:val="20"/>
      <w:szCs w:val="20"/>
      <w:lang w:val="sr-Latn-RS" w:eastAsia="sr-Latn-RS"/>
    </w:rPr>
  </w:style>
  <w:style w:type="paragraph" w:customStyle="1" w:styleId="eksponent">
    <w:name w:val="eksponent"/>
    <w:basedOn w:val="Normal"/>
    <w:rsid w:val="000241D5"/>
    <w:pPr>
      <w:widowControl/>
      <w:autoSpaceDE/>
      <w:autoSpaceDN/>
      <w:spacing w:after="150"/>
      <w:ind w:firstLine="480"/>
    </w:pPr>
    <w:rPr>
      <w:rFonts w:ascii="Verdana" w:eastAsia="Times New Roman" w:hAnsi="Verdana" w:cs="Arial"/>
      <w:b/>
      <w:bCs/>
      <w:color w:val="6666CC"/>
      <w:sz w:val="20"/>
      <w:szCs w:val="20"/>
      <w:vertAlign w:val="superscript"/>
      <w:lang w:val="sr-Latn-RS" w:eastAsia="sr-Latn-RS"/>
    </w:rPr>
  </w:style>
  <w:style w:type="paragraph" w:customStyle="1" w:styleId="strongeksponent">
    <w:name w:val="strongeksponent"/>
    <w:basedOn w:val="Normal"/>
    <w:rsid w:val="000241D5"/>
    <w:pPr>
      <w:widowControl/>
      <w:autoSpaceDE/>
      <w:autoSpaceDN/>
      <w:spacing w:after="150"/>
      <w:ind w:firstLine="480"/>
    </w:pPr>
    <w:rPr>
      <w:rFonts w:ascii="Verdana" w:eastAsia="Times New Roman" w:hAnsi="Verdana" w:cs="Arial"/>
      <w:b/>
      <w:bCs/>
      <w:color w:val="6666FF"/>
      <w:sz w:val="20"/>
      <w:szCs w:val="20"/>
      <w:vertAlign w:val="superscript"/>
      <w:lang w:val="sr-Latn-RS" w:eastAsia="sr-Latn-RS"/>
    </w:rPr>
  </w:style>
  <w:style w:type="paragraph" w:customStyle="1" w:styleId="extrastrongeksponent">
    <w:name w:val="extrastrongeksponent"/>
    <w:basedOn w:val="Normal"/>
    <w:rsid w:val="000241D5"/>
    <w:pPr>
      <w:widowControl/>
      <w:autoSpaceDE/>
      <w:autoSpaceDN/>
      <w:spacing w:after="150"/>
      <w:ind w:firstLine="480"/>
    </w:pPr>
    <w:rPr>
      <w:rFonts w:ascii="Verdana" w:eastAsia="Times New Roman" w:hAnsi="Verdana" w:cs="Arial"/>
      <w:b/>
      <w:bCs/>
      <w:color w:val="9999FF"/>
      <w:sz w:val="20"/>
      <w:szCs w:val="20"/>
      <w:vertAlign w:val="superscript"/>
      <w:lang w:val="sr-Latn-RS" w:eastAsia="sr-Latn-RS"/>
    </w:rPr>
  </w:style>
  <w:style w:type="paragraph" w:customStyle="1" w:styleId="indekas">
    <w:name w:val="indekas"/>
    <w:basedOn w:val="Normal"/>
    <w:rsid w:val="000241D5"/>
    <w:pPr>
      <w:widowControl/>
      <w:autoSpaceDE/>
      <w:autoSpaceDN/>
      <w:spacing w:after="150"/>
      <w:ind w:firstLine="480"/>
    </w:pPr>
    <w:rPr>
      <w:rFonts w:ascii="Verdana" w:eastAsia="Times New Roman" w:hAnsi="Verdana" w:cs="Arial"/>
      <w:i/>
      <w:iCs/>
      <w:color w:val="66CC66"/>
      <w:sz w:val="20"/>
      <w:szCs w:val="20"/>
      <w:vertAlign w:val="subscript"/>
      <w:lang w:val="sr-Latn-RS" w:eastAsia="sr-Latn-RS"/>
    </w:rPr>
  </w:style>
  <w:style w:type="paragraph" w:customStyle="1" w:styleId="strongindekas">
    <w:name w:val="strongindekas"/>
    <w:basedOn w:val="Normal"/>
    <w:rsid w:val="000241D5"/>
    <w:pPr>
      <w:widowControl/>
      <w:autoSpaceDE/>
      <w:autoSpaceDN/>
      <w:spacing w:after="150"/>
      <w:ind w:firstLine="480"/>
    </w:pPr>
    <w:rPr>
      <w:rFonts w:ascii="Verdana" w:eastAsia="Times New Roman" w:hAnsi="Verdana" w:cs="Arial"/>
      <w:i/>
      <w:iCs/>
      <w:color w:val="66FF66"/>
      <w:sz w:val="20"/>
      <w:szCs w:val="20"/>
      <w:vertAlign w:val="subscript"/>
      <w:lang w:val="sr-Latn-RS" w:eastAsia="sr-Latn-RS"/>
    </w:rPr>
  </w:style>
  <w:style w:type="paragraph" w:customStyle="1" w:styleId="extrastrongindekas">
    <w:name w:val="extrastrongindekas"/>
    <w:basedOn w:val="Normal"/>
    <w:rsid w:val="000241D5"/>
    <w:pPr>
      <w:widowControl/>
      <w:autoSpaceDE/>
      <w:autoSpaceDN/>
      <w:spacing w:after="150"/>
      <w:ind w:firstLine="480"/>
    </w:pPr>
    <w:rPr>
      <w:rFonts w:ascii="Verdana" w:eastAsia="Times New Roman" w:hAnsi="Verdana" w:cs="Arial"/>
      <w:i/>
      <w:iCs/>
      <w:color w:val="99FF99"/>
      <w:sz w:val="20"/>
      <w:szCs w:val="20"/>
      <w:vertAlign w:val="subscript"/>
      <w:lang w:val="sr-Latn-RS" w:eastAsia="sr-Latn-RS"/>
    </w:rPr>
  </w:style>
  <w:style w:type="paragraph" w:customStyle="1" w:styleId="subareaoutputpanel">
    <w:name w:val="subareaoutputpanel"/>
    <w:basedOn w:val="Normal"/>
    <w:rsid w:val="000241D5"/>
    <w:pPr>
      <w:widowControl/>
      <w:autoSpaceDE/>
      <w:autoSpaceDN/>
      <w:spacing w:after="150"/>
      <w:ind w:firstLine="480"/>
    </w:pPr>
    <w:rPr>
      <w:rFonts w:ascii="Arial" w:eastAsia="Times New Roman" w:hAnsi="Arial" w:cs="Arial"/>
      <w:sz w:val="20"/>
      <w:szCs w:val="20"/>
      <w:lang w:val="sr-Latn-RS" w:eastAsia="sr-Latn-RS"/>
    </w:rPr>
  </w:style>
  <w:style w:type="paragraph" w:customStyle="1" w:styleId="sadrzajapstrakt">
    <w:name w:val="sadrzajapstrakt"/>
    <w:basedOn w:val="Normal"/>
    <w:rsid w:val="000241D5"/>
    <w:pPr>
      <w:widowControl/>
      <w:autoSpaceDE/>
      <w:autoSpaceDN/>
      <w:spacing w:after="150"/>
      <w:ind w:firstLine="480"/>
    </w:pPr>
    <w:rPr>
      <w:rFonts w:ascii="Arial" w:eastAsia="Times New Roman" w:hAnsi="Arial" w:cs="Arial"/>
      <w:color w:val="484848"/>
      <w:sz w:val="20"/>
      <w:szCs w:val="20"/>
      <w:lang w:val="sr-Latn-RS" w:eastAsia="sr-Latn-RS"/>
    </w:rPr>
  </w:style>
  <w:style w:type="paragraph" w:customStyle="1" w:styleId="sadrzajapstrakt1">
    <w:name w:val="sadrzajapstrakt1"/>
    <w:basedOn w:val="Normal"/>
    <w:rsid w:val="000241D5"/>
    <w:pPr>
      <w:widowControl/>
      <w:autoSpaceDE/>
      <w:autoSpaceDN/>
      <w:spacing w:after="150"/>
      <w:ind w:firstLine="480"/>
    </w:pPr>
    <w:rPr>
      <w:rFonts w:ascii="Arial" w:eastAsia="Times New Roman" w:hAnsi="Arial" w:cs="Arial"/>
      <w:i/>
      <w:iCs/>
      <w:color w:val="484848"/>
      <w:sz w:val="20"/>
      <w:szCs w:val="20"/>
      <w:lang w:val="sr-Latn-RS" w:eastAsia="sr-Latn-RS"/>
    </w:rPr>
  </w:style>
  <w:style w:type="paragraph" w:customStyle="1" w:styleId="sadrzajapstrakt2">
    <w:name w:val="sadrzajapstrakt2"/>
    <w:basedOn w:val="Normal"/>
    <w:rsid w:val="000241D5"/>
    <w:pPr>
      <w:widowControl/>
      <w:autoSpaceDE/>
      <w:autoSpaceDN/>
      <w:spacing w:after="150"/>
      <w:ind w:firstLine="480"/>
    </w:pPr>
    <w:rPr>
      <w:rFonts w:ascii="Arial" w:eastAsia="Times New Roman" w:hAnsi="Arial" w:cs="Arial"/>
      <w:i/>
      <w:iCs/>
      <w:color w:val="484848"/>
      <w:sz w:val="20"/>
      <w:szCs w:val="20"/>
      <w:lang w:val="sr-Latn-RS" w:eastAsia="sr-Latn-RS"/>
    </w:rPr>
  </w:style>
  <w:style w:type="paragraph" w:customStyle="1" w:styleId="rich-mp-content-table">
    <w:name w:val="rich-mp-content-tabl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ich-mpnl-header-cell">
    <w:name w:val="rich-mpnl-header-cell"/>
    <w:basedOn w:val="Normal"/>
    <w:rsid w:val="000241D5"/>
    <w:pPr>
      <w:widowControl/>
      <w:autoSpaceDE/>
      <w:autoSpaceDN/>
      <w:spacing w:after="150"/>
      <w:ind w:firstLine="480"/>
    </w:pPr>
    <w:rPr>
      <w:rFonts w:ascii="Arial" w:eastAsia="Times New Roman" w:hAnsi="Arial" w:cs="Arial"/>
      <w:color w:val="FFFFFF"/>
      <w:sz w:val="18"/>
      <w:szCs w:val="18"/>
      <w:lang w:val="sr-Latn-RS" w:eastAsia="sr-Latn-RS"/>
    </w:rPr>
  </w:style>
  <w:style w:type="paragraph" w:customStyle="1" w:styleId="rich-mpnl-text">
    <w:name w:val="rich-mpnl-text"/>
    <w:basedOn w:val="Normal"/>
    <w:rsid w:val="000241D5"/>
    <w:pPr>
      <w:widowControl/>
      <w:autoSpaceDE/>
      <w:autoSpaceDN/>
      <w:spacing w:after="150"/>
      <w:ind w:firstLine="480"/>
    </w:pPr>
    <w:rPr>
      <w:rFonts w:ascii="Arial" w:eastAsia="Times New Roman" w:hAnsi="Arial" w:cs="Arial"/>
      <w:b/>
      <w:bCs/>
      <w:color w:val="000000"/>
      <w:sz w:val="20"/>
      <w:szCs w:val="20"/>
      <w:lang w:val="sr-Latn-RS" w:eastAsia="sr-Latn-RS"/>
    </w:rPr>
  </w:style>
  <w:style w:type="paragraph" w:customStyle="1" w:styleId="rich-mpnl-header">
    <w:name w:val="rich-mpnl-header"/>
    <w:basedOn w:val="Normal"/>
    <w:rsid w:val="000241D5"/>
    <w:pPr>
      <w:widowControl/>
      <w:shd w:val="clear" w:color="auto" w:fill="008000"/>
      <w:autoSpaceDE/>
      <w:autoSpaceDN/>
      <w:spacing w:after="150" w:line="450" w:lineRule="atLeast"/>
      <w:ind w:firstLine="480"/>
      <w:textAlignment w:val="center"/>
    </w:pPr>
    <w:rPr>
      <w:rFonts w:ascii="Arial" w:eastAsia="Times New Roman" w:hAnsi="Arial" w:cs="Arial"/>
      <w:color w:val="FFFFFF"/>
      <w:sz w:val="20"/>
      <w:szCs w:val="20"/>
      <w:lang w:val="sr-Latn-RS" w:eastAsia="sr-Latn-RS"/>
    </w:rPr>
  </w:style>
  <w:style w:type="paragraph" w:customStyle="1" w:styleId="rich-mpnl-body">
    <w:name w:val="rich-mpnl-body"/>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noborder">
    <w:name w:val="noborder"/>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earchbar">
    <w:name w:val="searchbar"/>
    <w:basedOn w:val="Normal"/>
    <w:rsid w:val="000241D5"/>
    <w:pPr>
      <w:widowControl/>
      <w:autoSpaceDE/>
      <w:autoSpaceDN/>
      <w:spacing w:after="150"/>
      <w:ind w:firstLine="480"/>
      <w:jc w:val="right"/>
      <w:textAlignment w:val="center"/>
    </w:pPr>
    <w:rPr>
      <w:rFonts w:ascii="Verdana" w:eastAsia="Times New Roman" w:hAnsi="Verdana" w:cs="Arial"/>
      <w:sz w:val="20"/>
      <w:szCs w:val="20"/>
      <w:lang w:val="sr-Latn-RS" w:eastAsia="sr-Latn-RS"/>
    </w:rPr>
  </w:style>
  <w:style w:type="paragraph" w:customStyle="1" w:styleId="rich-table-row">
    <w:name w:val="rich-table-row"/>
    <w:basedOn w:val="Normal"/>
    <w:rsid w:val="000241D5"/>
    <w:pPr>
      <w:widowControl/>
      <w:autoSpaceDE/>
      <w:autoSpaceDN/>
      <w:spacing w:after="150"/>
      <w:ind w:firstLine="480"/>
    </w:pPr>
    <w:rPr>
      <w:rFonts w:ascii="Verdana" w:eastAsia="Times New Roman" w:hAnsi="Verdana" w:cs="Arial"/>
      <w:color w:val="0000FF"/>
      <w:sz w:val="20"/>
      <w:szCs w:val="20"/>
      <w:lang w:val="sr-Latn-RS" w:eastAsia="sr-Latn-RS"/>
    </w:rPr>
  </w:style>
  <w:style w:type="paragraph" w:customStyle="1" w:styleId="prilozitabcolumn">
    <w:name w:val="prilozitabcolumn"/>
    <w:basedOn w:val="Normal"/>
    <w:rsid w:val="000241D5"/>
    <w:pPr>
      <w:widowControl/>
      <w:autoSpaceDE/>
      <w:autoSpaceDN/>
      <w:spacing w:after="150"/>
      <w:ind w:firstLine="480"/>
    </w:pPr>
    <w:rPr>
      <w:rFonts w:ascii="Arial" w:eastAsia="Times New Roman" w:hAnsi="Arial" w:cs="Arial"/>
      <w:color w:val="000000"/>
      <w:sz w:val="17"/>
      <w:szCs w:val="17"/>
      <w:lang w:val="sr-Latn-RS" w:eastAsia="sr-Latn-RS"/>
    </w:rPr>
  </w:style>
  <w:style w:type="paragraph" w:customStyle="1" w:styleId="rich-table-cell">
    <w:name w:val="rich-table-cell"/>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mediacontent">
    <w:name w:val="mediacontent"/>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prilozicontent">
    <w:name w:val="prilozicontent"/>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prilozitab">
    <w:name w:val="prilozitab"/>
    <w:basedOn w:val="Normal"/>
    <w:rsid w:val="000241D5"/>
    <w:pPr>
      <w:widowControl/>
      <w:pBdr>
        <w:bottom w:val="single" w:sz="6" w:space="0" w:color="C0C0C0"/>
      </w:pBdr>
      <w:shd w:val="clear" w:color="auto" w:fill="FFFFFF"/>
      <w:autoSpaceDE/>
      <w:autoSpaceDN/>
      <w:spacing w:after="150"/>
      <w:ind w:firstLine="480"/>
    </w:pPr>
    <w:rPr>
      <w:rFonts w:ascii="Arial" w:eastAsia="Times New Roman" w:hAnsi="Arial" w:cs="Arial"/>
      <w:color w:val="000000"/>
      <w:sz w:val="17"/>
      <w:szCs w:val="17"/>
      <w:lang w:val="sr-Latn-RS" w:eastAsia="sr-Latn-RS"/>
    </w:rPr>
  </w:style>
  <w:style w:type="paragraph" w:customStyle="1" w:styleId="sadrzajnaslov">
    <w:name w:val="sadrzajnaslov"/>
    <w:basedOn w:val="Normal"/>
    <w:rsid w:val="000241D5"/>
    <w:pPr>
      <w:widowControl/>
      <w:pBdr>
        <w:bottom w:val="single" w:sz="6" w:space="4" w:color="C9CBCD"/>
      </w:pBdr>
      <w:autoSpaceDE/>
      <w:autoSpaceDN/>
      <w:spacing w:after="150"/>
      <w:ind w:left="150" w:firstLine="480"/>
    </w:pPr>
    <w:rPr>
      <w:rFonts w:ascii="Arial" w:eastAsia="Times New Roman" w:hAnsi="Arial" w:cs="Arial"/>
      <w:color w:val="1C9500"/>
      <w:sz w:val="30"/>
      <w:szCs w:val="30"/>
      <w:lang w:val="sr-Latn-RS" w:eastAsia="sr-Latn-RS"/>
    </w:rPr>
  </w:style>
  <w:style w:type="paragraph" w:customStyle="1" w:styleId="rich-panel-body">
    <w:name w:val="rich-panel-body"/>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ich-panel">
    <w:name w:val="rich-panel"/>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rich-page">
    <w:name w:val="rich-pag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adrzajrubrikemenustil">
    <w:name w:val="sadrzajrubrikemenustil"/>
    <w:basedOn w:val="Normal"/>
    <w:rsid w:val="000241D5"/>
    <w:pPr>
      <w:widowControl/>
      <w:shd w:val="clear" w:color="auto" w:fill="FFFFFF"/>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rubrikemenustildiv">
    <w:name w:val="sadrzajrubrikemenustildiv"/>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displaynone">
    <w:name w:val="displaynone"/>
    <w:basedOn w:val="Normal"/>
    <w:rsid w:val="000241D5"/>
    <w:pPr>
      <w:widowControl/>
      <w:autoSpaceDE/>
      <w:autoSpaceDN/>
      <w:ind w:firstLine="480"/>
    </w:pPr>
    <w:rPr>
      <w:rFonts w:ascii="Verdana" w:eastAsia="Times New Roman" w:hAnsi="Verdana" w:cs="Arial"/>
      <w:vanish/>
      <w:sz w:val="20"/>
      <w:szCs w:val="20"/>
      <w:lang w:val="sr-Latn-RS" w:eastAsia="sr-Latn-RS"/>
    </w:rPr>
  </w:style>
  <w:style w:type="paragraph" w:customStyle="1" w:styleId="sadrzajtable">
    <w:name w:val="sadrzajtable"/>
    <w:basedOn w:val="Normal"/>
    <w:rsid w:val="000241D5"/>
    <w:pPr>
      <w:widowControl/>
      <w:autoSpaceDE/>
      <w:autoSpaceDN/>
      <w:spacing w:after="150"/>
      <w:ind w:firstLine="480"/>
    </w:pPr>
    <w:rPr>
      <w:rFonts w:ascii="Verdana" w:eastAsia="Times New Roman" w:hAnsi="Verdana" w:cs="Arial"/>
      <w:sz w:val="18"/>
      <w:szCs w:val="18"/>
      <w:lang w:val="sr-Latn-RS" w:eastAsia="sr-Latn-RS"/>
    </w:rPr>
  </w:style>
  <w:style w:type="paragraph" w:customStyle="1" w:styleId="sadrzajnadnaslov">
    <w:name w:val="sadrzajnadnaslov"/>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nadnaslov1">
    <w:name w:val="sadrzajnadnaslov1"/>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nadnaslov2">
    <w:name w:val="sadrzajnadnaslov2"/>
    <w:basedOn w:val="Normal"/>
    <w:rsid w:val="000241D5"/>
    <w:pPr>
      <w:widowControl/>
      <w:autoSpaceDE/>
      <w:autoSpaceDN/>
      <w:spacing w:after="150"/>
      <w:ind w:firstLine="480"/>
    </w:pPr>
    <w:rPr>
      <w:rFonts w:ascii="Arial" w:eastAsia="Times New Roman" w:hAnsi="Arial" w:cs="Arial"/>
      <w:color w:val="000000"/>
      <w:sz w:val="18"/>
      <w:szCs w:val="18"/>
      <w:lang w:val="sr-Latn-RS" w:eastAsia="sr-Latn-RS"/>
    </w:rPr>
  </w:style>
  <w:style w:type="paragraph" w:customStyle="1" w:styleId="sadrzajpodnaslov">
    <w:name w:val="sadrzajpodnaslov"/>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podnaslov1">
    <w:name w:val="sadrzajpodnaslov1"/>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podnaslov2">
    <w:name w:val="sadrzajpodnaslov2"/>
    <w:basedOn w:val="Normal"/>
    <w:rsid w:val="000241D5"/>
    <w:pPr>
      <w:widowControl/>
      <w:autoSpaceDE/>
      <w:autoSpaceDN/>
      <w:spacing w:after="150"/>
      <w:ind w:firstLine="480"/>
    </w:pPr>
    <w:rPr>
      <w:rFonts w:ascii="Arial" w:eastAsia="Times New Roman" w:hAnsi="Arial" w:cs="Arial"/>
      <w:color w:val="484848"/>
      <w:sz w:val="17"/>
      <w:szCs w:val="17"/>
      <w:lang w:val="sr-Latn-RS" w:eastAsia="sr-Latn-RS"/>
    </w:rPr>
  </w:style>
  <w:style w:type="paragraph" w:customStyle="1" w:styleId="sadrzajdiv">
    <w:name w:val="sadrzajdiv"/>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sadrzajdiv1">
    <w:name w:val="sadrzajdiv1"/>
    <w:basedOn w:val="Normal"/>
    <w:rsid w:val="000241D5"/>
    <w:pPr>
      <w:widowControl/>
      <w:shd w:val="clear" w:color="auto" w:fill="F4F6F9"/>
      <w:autoSpaceDE/>
      <w:autoSpaceDN/>
      <w:spacing w:after="150"/>
      <w:ind w:firstLine="480"/>
    </w:pPr>
    <w:rPr>
      <w:rFonts w:ascii="Verdana" w:eastAsia="Times New Roman" w:hAnsi="Verdana" w:cs="Arial"/>
      <w:sz w:val="20"/>
      <w:szCs w:val="20"/>
      <w:lang w:val="sr-Latn-RS" w:eastAsia="sr-Latn-RS"/>
    </w:rPr>
  </w:style>
  <w:style w:type="paragraph" w:customStyle="1" w:styleId="sadrzajdiv2">
    <w:name w:val="sadrzajdiv2"/>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sadrzajhier">
    <w:name w:val="sadrzajhier"/>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hier1">
    <w:name w:val="sadrzajhier1"/>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hier2">
    <w:name w:val="sadrzajhier2"/>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subarea">
    <w:name w:val="sadrzajsubarea"/>
    <w:basedOn w:val="Normal"/>
    <w:rsid w:val="000241D5"/>
    <w:pPr>
      <w:widowControl/>
      <w:shd w:val="clear" w:color="auto" w:fill="F4F6F9"/>
      <w:autoSpaceDE/>
      <w:autoSpaceDN/>
      <w:spacing w:after="150"/>
      <w:ind w:firstLine="480"/>
    </w:pPr>
    <w:rPr>
      <w:rFonts w:ascii="Arial" w:eastAsia="Times New Roman" w:hAnsi="Arial" w:cs="Arial"/>
      <w:b/>
      <w:bCs/>
      <w:caps/>
      <w:color w:val="000000"/>
      <w:sz w:val="18"/>
      <w:szCs w:val="18"/>
      <w:lang w:val="sr-Latn-RS" w:eastAsia="sr-Latn-RS"/>
    </w:rPr>
  </w:style>
  <w:style w:type="paragraph" w:customStyle="1" w:styleId="sadrzajlink">
    <w:name w:val="sadrzajlink"/>
    <w:basedOn w:val="Normal"/>
    <w:rsid w:val="000241D5"/>
    <w:pPr>
      <w:widowControl/>
      <w:autoSpaceDE/>
      <w:autoSpaceDN/>
      <w:spacing w:after="150"/>
      <w:ind w:firstLine="480"/>
    </w:pPr>
    <w:rPr>
      <w:rFonts w:ascii="Arial" w:eastAsia="Times New Roman" w:hAnsi="Arial" w:cs="Arial"/>
      <w:b/>
      <w:bCs/>
      <w:color w:val="007000"/>
      <w:sz w:val="18"/>
      <w:szCs w:val="18"/>
      <w:u w:val="single"/>
      <w:lang w:val="sr-Latn-RS" w:eastAsia="sr-Latn-RS"/>
    </w:rPr>
  </w:style>
  <w:style w:type="paragraph" w:customStyle="1" w:styleId="sadrzajmiddle">
    <w:name w:val="sadrzajmiddl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adrzajmiddle1">
    <w:name w:val="sadrzajmiddle1"/>
    <w:basedOn w:val="Normal"/>
    <w:rsid w:val="000241D5"/>
    <w:pPr>
      <w:widowControl/>
      <w:autoSpaceDE/>
      <w:autoSpaceDN/>
      <w:spacing w:after="150"/>
      <w:ind w:firstLine="480"/>
    </w:pPr>
    <w:rPr>
      <w:rFonts w:ascii="Arial" w:eastAsia="Times New Roman" w:hAnsi="Arial" w:cs="Arial"/>
      <w:b/>
      <w:bCs/>
      <w:sz w:val="20"/>
      <w:szCs w:val="20"/>
      <w:lang w:val="sr-Latn-RS" w:eastAsia="sr-Latn-RS"/>
    </w:rPr>
  </w:style>
  <w:style w:type="paragraph" w:customStyle="1" w:styleId="sadrzajmiddle2">
    <w:name w:val="sadrzajmiddle2"/>
    <w:basedOn w:val="Normal"/>
    <w:rsid w:val="000241D5"/>
    <w:pPr>
      <w:widowControl/>
      <w:autoSpaceDE/>
      <w:autoSpaceDN/>
      <w:spacing w:after="150"/>
      <w:ind w:firstLine="480"/>
    </w:pPr>
    <w:rPr>
      <w:rFonts w:ascii="Arial" w:eastAsia="Times New Roman" w:hAnsi="Arial" w:cs="Arial"/>
      <w:sz w:val="20"/>
      <w:szCs w:val="20"/>
      <w:lang w:val="sr-Latn-RS" w:eastAsia="sr-Latn-RS"/>
    </w:rPr>
  </w:style>
  <w:style w:type="paragraph" w:customStyle="1" w:styleId="sadrzajright">
    <w:name w:val="sadrzajright"/>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adrzajright1">
    <w:name w:val="sadrzajright1"/>
    <w:basedOn w:val="Normal"/>
    <w:rsid w:val="000241D5"/>
    <w:pPr>
      <w:widowControl/>
      <w:autoSpaceDE/>
      <w:autoSpaceDN/>
      <w:spacing w:after="150"/>
      <w:ind w:firstLine="480"/>
    </w:pPr>
    <w:rPr>
      <w:rFonts w:ascii="Arial" w:eastAsia="Times New Roman" w:hAnsi="Arial" w:cs="Arial"/>
      <w:i/>
      <w:iCs/>
      <w:sz w:val="20"/>
      <w:szCs w:val="20"/>
      <w:lang w:val="sr-Latn-RS" w:eastAsia="sr-Latn-RS"/>
    </w:rPr>
  </w:style>
  <w:style w:type="paragraph" w:customStyle="1" w:styleId="sadrzajright2">
    <w:name w:val="sadrzajright2"/>
    <w:basedOn w:val="Normal"/>
    <w:rsid w:val="000241D5"/>
    <w:pPr>
      <w:widowControl/>
      <w:autoSpaceDE/>
      <w:autoSpaceDN/>
      <w:spacing w:after="150"/>
      <w:ind w:firstLine="480"/>
    </w:pPr>
    <w:rPr>
      <w:rFonts w:ascii="Arial" w:eastAsia="Times New Roman" w:hAnsi="Arial" w:cs="Arial"/>
      <w:i/>
      <w:iCs/>
      <w:sz w:val="20"/>
      <w:szCs w:val="20"/>
      <w:lang w:val="sr-Latn-RS" w:eastAsia="sr-Latn-RS"/>
    </w:rPr>
  </w:style>
  <w:style w:type="paragraph" w:customStyle="1" w:styleId="rich-mpnl-shadow">
    <w:name w:val="rich-mpnl-shadow"/>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ich-mpnl-content">
    <w:name w:val="rich-mpnl-content"/>
    <w:basedOn w:val="Normal"/>
    <w:rsid w:val="000241D5"/>
    <w:pPr>
      <w:widowControl/>
      <w:pBdr>
        <w:top w:val="single" w:sz="6" w:space="1" w:color="auto"/>
        <w:left w:val="single" w:sz="6" w:space="1" w:color="auto"/>
        <w:bottom w:val="single" w:sz="6" w:space="1" w:color="auto"/>
        <w:right w:val="single" w:sz="6" w:space="1" w:color="auto"/>
      </w:pBdr>
      <w:autoSpaceDE/>
      <w:autoSpaceDN/>
      <w:spacing w:after="150"/>
      <w:ind w:firstLine="480"/>
    </w:pPr>
    <w:rPr>
      <w:rFonts w:ascii="Verdana" w:eastAsia="Times New Roman" w:hAnsi="Verdana" w:cs="Arial"/>
      <w:sz w:val="20"/>
      <w:szCs w:val="20"/>
      <w:lang w:val="sr-Latn-RS" w:eastAsia="sr-Latn-RS"/>
    </w:rPr>
  </w:style>
  <w:style w:type="paragraph" w:customStyle="1" w:styleId="rich-table">
    <w:name w:val="rich-table"/>
    <w:basedOn w:val="Normal"/>
    <w:rsid w:val="000241D5"/>
    <w:pPr>
      <w:widowControl/>
      <w:pBdr>
        <w:top w:val="single" w:sz="6" w:space="0" w:color="C0C0C0"/>
        <w:left w:val="single" w:sz="6" w:space="0" w:color="C0C0C0"/>
      </w:pBdr>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rich-table-thead">
    <w:name w:val="rich-table-thead"/>
    <w:basedOn w:val="Normal"/>
    <w:rsid w:val="000241D5"/>
    <w:pPr>
      <w:widowControl/>
      <w:pBdr>
        <w:bottom w:val="single" w:sz="6" w:space="0" w:color="C0C0C0"/>
      </w:pBdr>
      <w:autoSpaceDE/>
      <w:autoSpaceDN/>
      <w:spacing w:after="150"/>
      <w:ind w:firstLine="480"/>
    </w:pPr>
    <w:rPr>
      <w:rFonts w:ascii="Verdana" w:eastAsia="Times New Roman" w:hAnsi="Verdana" w:cs="Arial"/>
      <w:sz w:val="20"/>
      <w:szCs w:val="20"/>
      <w:lang w:val="sr-Latn-RS" w:eastAsia="sr-Latn-RS"/>
    </w:rPr>
  </w:style>
  <w:style w:type="paragraph" w:customStyle="1" w:styleId="rich-table-header">
    <w:name w:val="rich-table-header"/>
    <w:basedOn w:val="Normal"/>
    <w:rsid w:val="000241D5"/>
    <w:pPr>
      <w:widowControl/>
      <w:shd w:val="clear" w:color="auto" w:fill="005000"/>
      <w:autoSpaceDE/>
      <w:autoSpaceDN/>
      <w:spacing w:after="150"/>
      <w:ind w:firstLine="480"/>
    </w:pPr>
    <w:rPr>
      <w:rFonts w:ascii="Verdana" w:eastAsia="Times New Roman" w:hAnsi="Verdana" w:cs="Arial"/>
      <w:sz w:val="20"/>
      <w:szCs w:val="20"/>
      <w:lang w:val="sr-Latn-RS" w:eastAsia="sr-Latn-RS"/>
    </w:rPr>
  </w:style>
  <w:style w:type="paragraph" w:customStyle="1" w:styleId="rich-table-headercell">
    <w:name w:val="rich-table-headercell"/>
    <w:basedOn w:val="Normal"/>
    <w:rsid w:val="000241D5"/>
    <w:pPr>
      <w:widowControl/>
      <w:pBdr>
        <w:bottom w:val="single" w:sz="6" w:space="3" w:color="C0C0C0"/>
        <w:right w:val="single" w:sz="6" w:space="3" w:color="C0C0C0"/>
      </w:pBdr>
      <w:autoSpaceDE/>
      <w:autoSpaceDN/>
      <w:spacing w:after="150"/>
      <w:ind w:firstLine="480"/>
      <w:jc w:val="center"/>
    </w:pPr>
    <w:rPr>
      <w:rFonts w:ascii="Arial" w:eastAsia="Times New Roman" w:hAnsi="Arial" w:cs="Arial"/>
      <w:b/>
      <w:bCs/>
      <w:color w:val="FFFFFF"/>
      <w:sz w:val="17"/>
      <w:szCs w:val="17"/>
      <w:lang w:val="sr-Latn-RS" w:eastAsia="sr-Latn-RS"/>
    </w:rPr>
  </w:style>
  <w:style w:type="paragraph" w:customStyle="1" w:styleId="prilozitabheader">
    <w:name w:val="prilozitabheader"/>
    <w:basedOn w:val="Normal"/>
    <w:rsid w:val="000241D5"/>
    <w:pPr>
      <w:widowControl/>
      <w:shd w:val="clear" w:color="auto" w:fill="EEEEEE"/>
      <w:autoSpaceDE/>
      <w:autoSpaceDN/>
      <w:spacing w:after="150"/>
      <w:ind w:firstLine="480"/>
    </w:pPr>
    <w:rPr>
      <w:rFonts w:ascii="Arial" w:eastAsia="Times New Roman" w:hAnsi="Arial" w:cs="Arial"/>
      <w:b/>
      <w:bCs/>
      <w:color w:val="000000"/>
      <w:spacing w:val="15"/>
      <w:sz w:val="17"/>
      <w:szCs w:val="17"/>
      <w:lang w:val="sr-Latn-RS" w:eastAsia="sr-Latn-RS"/>
    </w:rPr>
  </w:style>
  <w:style w:type="paragraph" w:customStyle="1" w:styleId="prilozilink">
    <w:name w:val="prilozilink"/>
    <w:basedOn w:val="Normal"/>
    <w:rsid w:val="000241D5"/>
    <w:pPr>
      <w:widowControl/>
      <w:autoSpaceDE/>
      <w:autoSpaceDN/>
      <w:spacing w:after="150"/>
      <w:ind w:firstLine="480"/>
    </w:pPr>
    <w:rPr>
      <w:rFonts w:ascii="Verdana" w:eastAsia="Times New Roman" w:hAnsi="Verdana" w:cs="Arial"/>
      <w:color w:val="000000"/>
      <w:sz w:val="20"/>
      <w:szCs w:val="20"/>
      <w:lang w:val="sr-Latn-RS" w:eastAsia="sr-Latn-RS"/>
    </w:rPr>
  </w:style>
  <w:style w:type="paragraph" w:customStyle="1" w:styleId="sadrzajright3">
    <w:name w:val="sadrzajright3"/>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sadrzajhier3">
    <w:name w:val="sadrzajhier3"/>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apstrakt3">
    <w:name w:val="sadrzajapstrakt3"/>
    <w:basedOn w:val="Normal"/>
    <w:rsid w:val="000241D5"/>
    <w:pPr>
      <w:widowControl/>
      <w:autoSpaceDE/>
      <w:autoSpaceDN/>
      <w:spacing w:after="150"/>
      <w:ind w:firstLine="480"/>
    </w:pPr>
    <w:rPr>
      <w:rFonts w:ascii="Arial" w:eastAsia="Times New Roman" w:hAnsi="Arial" w:cs="Arial"/>
      <w:i/>
      <w:iCs/>
      <w:color w:val="484848"/>
      <w:sz w:val="17"/>
      <w:szCs w:val="17"/>
      <w:lang w:val="sr-Latn-RS" w:eastAsia="sr-Latn-RS"/>
    </w:rPr>
  </w:style>
  <w:style w:type="paragraph" w:customStyle="1" w:styleId="v2-odluka-zakon-4">
    <w:name w:val="v2-odluka-zakon-4"/>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5">
    <w:name w:val="v2-odluka-zakon-5"/>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6">
    <w:name w:val="v2-odluka-zakon-6"/>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7">
    <w:name w:val="v2-odluka-zakon-7"/>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8">
    <w:name w:val="v2-odluka-zakon-8"/>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9">
    <w:name w:val="v2-odluka-zakon-9"/>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0">
    <w:name w:val="v2-odluka-zakon-10"/>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1">
    <w:name w:val="v2-odluka-zakon-11"/>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2">
    <w:name w:val="v2-odluka-zakon-12"/>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3">
    <w:name w:val="v2-odluka-zakon-13"/>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4">
    <w:name w:val="v2-odluka-zakon-14"/>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5">
    <w:name w:val="v2-odluka-zakon-15"/>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6">
    <w:name w:val="v2-odluka-zakon-16"/>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7">
    <w:name w:val="v2-odluka-zakon-17"/>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8">
    <w:name w:val="v2-odluka-zakon-18"/>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9">
    <w:name w:val="v2-odluka-zakon-19"/>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20">
    <w:name w:val="v2-odluka-zakon-20"/>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naslov-4">
    <w:name w:val="v2-naslov-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5">
    <w:name w:val="v2-naslov-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6">
    <w:name w:val="v2-naslov-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7">
    <w:name w:val="v2-naslov-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8">
    <w:name w:val="v2-naslov-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9">
    <w:name w:val="v2-naslov-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0">
    <w:name w:val="v2-naslov-1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1">
    <w:name w:val="v2-naslov-1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2">
    <w:name w:val="v2-naslov-1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3">
    <w:name w:val="v2-naslov-1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4">
    <w:name w:val="v2-naslov-1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5">
    <w:name w:val="v2-naslov-1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6">
    <w:name w:val="v2-naslov-1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7">
    <w:name w:val="v2-naslov-1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8">
    <w:name w:val="v2-naslov-1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9">
    <w:name w:val="v2-naslov-1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20">
    <w:name w:val="v2-naslov-2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4">
    <w:name w:val="v2-bold-verzal-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5">
    <w:name w:val="v2-bold-verzal-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6">
    <w:name w:val="v2-bold-verzal-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7">
    <w:name w:val="v2-bold-verzal-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8">
    <w:name w:val="v2-bold-verzal-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9">
    <w:name w:val="v2-bold-verzal-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0">
    <w:name w:val="v2-bold-verzal-1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1">
    <w:name w:val="v2-bold-verzal-1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2">
    <w:name w:val="v2-bold-verzal-1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3">
    <w:name w:val="v2-bold-verzal-1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4">
    <w:name w:val="v2-bold-verzal-1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5">
    <w:name w:val="v2-bold-verzal-1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6">
    <w:name w:val="v2-bold-verzal-1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7">
    <w:name w:val="v2-bold-verzal-1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8">
    <w:name w:val="v2-bold-verzal-1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9">
    <w:name w:val="v2-bold-verzal-1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20">
    <w:name w:val="v2-bold-verzal-2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italik-verzal-4">
    <w:name w:val="v2-italik-verzal-4"/>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5">
    <w:name w:val="v2-italik-verzal-5"/>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6">
    <w:name w:val="v2-italik-verzal-6"/>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7">
    <w:name w:val="v2-italik-verzal-7"/>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8">
    <w:name w:val="v2-italik-verzal-8"/>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9">
    <w:name w:val="v2-italik-verzal-9"/>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0">
    <w:name w:val="v2-italik-verzal-10"/>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1">
    <w:name w:val="v2-italik-verzal-11"/>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2">
    <w:name w:val="v2-italik-verzal-12"/>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3">
    <w:name w:val="v2-italik-verzal-13"/>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4">
    <w:name w:val="v2-italik-verzal-14"/>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5">
    <w:name w:val="v2-italik-verzal-15"/>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6">
    <w:name w:val="v2-italik-verzal-16"/>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7">
    <w:name w:val="v2-italik-verzal-17"/>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8">
    <w:name w:val="v2-italik-verzal-18"/>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9">
    <w:name w:val="v2-italik-verzal-19"/>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20">
    <w:name w:val="v2-italik-verzal-20"/>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clan-verzal-3">
    <w:name w:val="v2-clan-verzal-3"/>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4">
    <w:name w:val="v2-clan-verzal-4"/>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5">
    <w:name w:val="v2-clan-verzal-5"/>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6">
    <w:name w:val="v2-clan-verzal-6"/>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7">
    <w:name w:val="v2-clan-verzal-7"/>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8">
    <w:name w:val="v2-clan-verzal-8"/>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9">
    <w:name w:val="v2-clan-verzal-9"/>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0">
    <w:name w:val="v2-clan-verzal-10"/>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1">
    <w:name w:val="v2-clan-verzal-11"/>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2">
    <w:name w:val="v2-clan-verzal-12"/>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3">
    <w:name w:val="v2-clan-verzal-13"/>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4">
    <w:name w:val="v2-clan-verzal-14"/>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5">
    <w:name w:val="v2-clan-verzal-15"/>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6">
    <w:name w:val="v2-clan-verzal-16"/>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7">
    <w:name w:val="v2-clan-verzal-17"/>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8">
    <w:name w:val="v2-clan-verzal-18"/>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9">
    <w:name w:val="v2-clan-verzal-19"/>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20">
    <w:name w:val="v2-clan-verzal-20"/>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bold-4">
    <w:name w:val="v2-bold-4"/>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5">
    <w:name w:val="v2-bold-5"/>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6">
    <w:name w:val="v2-bold-6"/>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7">
    <w:name w:val="v2-bold-7"/>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8">
    <w:name w:val="v2-bold-8"/>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9">
    <w:name w:val="v2-bold-9"/>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0">
    <w:name w:val="v2-bold-10"/>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1">
    <w:name w:val="v2-bold-11"/>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2">
    <w:name w:val="v2-bold-12"/>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3">
    <w:name w:val="v2-bold-13"/>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4">
    <w:name w:val="v2-bold-14"/>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5">
    <w:name w:val="v2-bold-15"/>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6">
    <w:name w:val="v2-bold-16"/>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7">
    <w:name w:val="v2-bold-17"/>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8">
    <w:name w:val="v2-bold-18"/>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9">
    <w:name w:val="v2-bold-19"/>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20">
    <w:name w:val="v2-bold-20"/>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italik-4">
    <w:name w:val="v2-italik-4"/>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5">
    <w:name w:val="v2-italik-5"/>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6">
    <w:name w:val="v2-italik-6"/>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7">
    <w:name w:val="v2-italik-7"/>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8">
    <w:name w:val="v2-italik-8"/>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9">
    <w:name w:val="v2-italik-9"/>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0">
    <w:name w:val="v2-italik-10"/>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1">
    <w:name w:val="v2-italik-11"/>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2">
    <w:name w:val="v2-italik-12"/>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3">
    <w:name w:val="v2-italik-13"/>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4">
    <w:name w:val="v2-italik-14"/>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5">
    <w:name w:val="v2-italik-15"/>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6">
    <w:name w:val="v2-italik-16"/>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7">
    <w:name w:val="v2-italik-17"/>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8">
    <w:name w:val="v2-italik-18"/>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9">
    <w:name w:val="v2-italik-19"/>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20">
    <w:name w:val="v2-italik-20"/>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spacija-4">
    <w:name w:val="v2-spacija-4"/>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5">
    <w:name w:val="v2-spacija-5"/>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6">
    <w:name w:val="v2-spacija-6"/>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7">
    <w:name w:val="v2-spacija-7"/>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8">
    <w:name w:val="v2-spacija-8"/>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9">
    <w:name w:val="v2-spacija-9"/>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0">
    <w:name w:val="v2-spacija-10"/>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1">
    <w:name w:val="v2-spacija-11"/>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2">
    <w:name w:val="v2-spacija-12"/>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3">
    <w:name w:val="v2-spacija-13"/>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4">
    <w:name w:val="v2-spacija-14"/>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5">
    <w:name w:val="v2-spacija-15"/>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6">
    <w:name w:val="v2-spacija-16"/>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7">
    <w:name w:val="v2-spacija-17"/>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8">
    <w:name w:val="v2-spacija-18"/>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9">
    <w:name w:val="v2-spacija-19"/>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20">
    <w:name w:val="v2-spacija-20"/>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clan-4">
    <w:name w:val="v2-clan-4"/>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5">
    <w:name w:val="v2-clan-5"/>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6">
    <w:name w:val="v2-clan-6"/>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7">
    <w:name w:val="v2-clan-7"/>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8">
    <w:name w:val="v2-clan-8"/>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9">
    <w:name w:val="v2-clan-9"/>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0">
    <w:name w:val="v2-clan-10"/>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1">
    <w:name w:val="v2-clan-11"/>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2">
    <w:name w:val="v2-clan-12"/>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3">
    <w:name w:val="v2-clan-13"/>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4">
    <w:name w:val="v2-clan-14"/>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5">
    <w:name w:val="v2-clan-15"/>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6">
    <w:name w:val="v2-clan-16"/>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7">
    <w:name w:val="v2-clan-17"/>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8">
    <w:name w:val="v2-clan-18"/>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9">
    <w:name w:val="v2-clan-19"/>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20">
    <w:name w:val="v2-clan-20"/>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bold-left-4">
    <w:name w:val="v2-bold-left-4"/>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5">
    <w:name w:val="v2-bold-left-5"/>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6">
    <w:name w:val="v2-bold-left-6"/>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7">
    <w:name w:val="v2-bold-left-7"/>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8">
    <w:name w:val="v2-bold-left-8"/>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9">
    <w:name w:val="v2-bold-left-9"/>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0">
    <w:name w:val="v2-bold-left-10"/>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1">
    <w:name w:val="v2-bold-left-11"/>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2">
    <w:name w:val="v2-bold-left-12"/>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3">
    <w:name w:val="v2-bold-left-13"/>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4">
    <w:name w:val="v2-bold-left-14"/>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5">
    <w:name w:val="v2-bold-left-15"/>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6">
    <w:name w:val="v2-bold-left-16"/>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7">
    <w:name w:val="v2-bold-left-17"/>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8">
    <w:name w:val="v2-bold-left-18"/>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9">
    <w:name w:val="v2-bold-left-19"/>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20">
    <w:name w:val="v2-bold-left-20"/>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italik-left-4">
    <w:name w:val="v2-italik-left-4"/>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5">
    <w:name w:val="v2-italik-left-5"/>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6">
    <w:name w:val="v2-italik-left-6"/>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7">
    <w:name w:val="v2-italik-left-7"/>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8">
    <w:name w:val="v2-italik-left-8"/>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9">
    <w:name w:val="v2-italik-left-9"/>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0">
    <w:name w:val="v2-italik-left-10"/>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1">
    <w:name w:val="v2-italik-left-11"/>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2">
    <w:name w:val="v2-italik-left-12"/>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3">
    <w:name w:val="v2-italik-left-13"/>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4">
    <w:name w:val="v2-italik-left-14"/>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5">
    <w:name w:val="v2-italik-left-15"/>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6">
    <w:name w:val="v2-italik-left-16"/>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7">
    <w:name w:val="v2-italik-left-17"/>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8">
    <w:name w:val="v2-italik-left-18"/>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9">
    <w:name w:val="v2-italik-left-19"/>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20">
    <w:name w:val="v2-italik-left-20"/>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spacija-left-4">
    <w:name w:val="v2-spacija-left-4"/>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5">
    <w:name w:val="v2-spacija-left-5"/>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6">
    <w:name w:val="v2-spacija-left-6"/>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7">
    <w:name w:val="v2-spacija-left-7"/>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8">
    <w:name w:val="v2-spacija-left-8"/>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9">
    <w:name w:val="v2-spacija-left-9"/>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0">
    <w:name w:val="v2-spacija-left-10"/>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1">
    <w:name w:val="v2-spacija-left-11"/>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2">
    <w:name w:val="v2-spacija-left-12"/>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3">
    <w:name w:val="v2-spacija-left-13"/>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4">
    <w:name w:val="v2-spacija-left-14"/>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5">
    <w:name w:val="v2-spacija-left-15"/>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6">
    <w:name w:val="v2-spacija-left-16"/>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7">
    <w:name w:val="v2-spacija-left-17"/>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8">
    <w:name w:val="v2-spacija-left-18"/>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9">
    <w:name w:val="v2-spacija-left-19"/>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20">
    <w:name w:val="v2-spacija-left-20"/>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clan-left-11">
    <w:name w:val="v2-clan-left-1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2">
    <w:name w:val="v2-clan-left-12"/>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3">
    <w:name w:val="v2-clan-left-13"/>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4">
    <w:name w:val="v2-clan-left-14"/>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5">
    <w:name w:val="v2-clan-left-15"/>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6">
    <w:name w:val="v2-clan-left-16"/>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7">
    <w:name w:val="v2-clan-left-17"/>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8">
    <w:name w:val="v2-clan-left-18"/>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9">
    <w:name w:val="v2-clan-left-19"/>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20">
    <w:name w:val="v2-clan-left-20"/>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law-size-0">
    <w:name w:val="law-size-0"/>
    <w:basedOn w:val="Normal"/>
    <w:rsid w:val="000241D5"/>
    <w:pPr>
      <w:widowControl/>
      <w:autoSpaceDE/>
      <w:autoSpaceDN/>
      <w:spacing w:after="150"/>
      <w:ind w:firstLine="480"/>
    </w:pPr>
    <w:rPr>
      <w:rFonts w:ascii="Verdana" w:eastAsia="Times New Roman" w:hAnsi="Verdana" w:cs="Arial"/>
      <w:sz w:val="24"/>
      <w:szCs w:val="24"/>
      <w:lang w:val="sr-Latn-RS" w:eastAsia="sr-Latn-RS"/>
    </w:rPr>
  </w:style>
  <w:style w:type="paragraph" w:customStyle="1" w:styleId="h4">
    <w:name w:val="h4"/>
    <w:basedOn w:val="Normal"/>
    <w:rsid w:val="000241D5"/>
    <w:pPr>
      <w:widowControl/>
      <w:autoSpaceDE/>
      <w:autoSpaceDN/>
      <w:spacing w:after="150"/>
      <w:ind w:firstLine="480"/>
    </w:pPr>
    <w:rPr>
      <w:rFonts w:ascii="inherit" w:eastAsia="Times New Roman" w:hAnsi="inherit" w:cs="Arial"/>
      <w:sz w:val="27"/>
      <w:szCs w:val="27"/>
      <w:lang w:val="sr-Latn-RS" w:eastAsia="sr-Latn-RS"/>
    </w:rPr>
  </w:style>
  <w:style w:type="paragraph" w:customStyle="1" w:styleId="h1">
    <w:name w:val="h1"/>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h2">
    <w:name w:val="h2"/>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h3">
    <w:name w:val="h3"/>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h5">
    <w:name w:val="h5"/>
    <w:basedOn w:val="Normal"/>
    <w:rsid w:val="000241D5"/>
    <w:pPr>
      <w:widowControl/>
      <w:autoSpaceDE/>
      <w:autoSpaceDN/>
      <w:spacing w:after="150"/>
      <w:ind w:firstLine="480"/>
    </w:pPr>
    <w:rPr>
      <w:rFonts w:ascii="inherit" w:eastAsia="Times New Roman" w:hAnsi="inherit" w:cs="Arial"/>
      <w:sz w:val="21"/>
      <w:szCs w:val="21"/>
      <w:lang w:val="sr-Latn-RS" w:eastAsia="sr-Latn-RS"/>
    </w:rPr>
  </w:style>
  <w:style w:type="paragraph" w:customStyle="1" w:styleId="h6">
    <w:name w:val="h6"/>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modal-body">
    <w:name w:val="modal-body"/>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list-inline">
    <w:name w:val="list-inline"/>
    <w:basedOn w:val="Normal"/>
    <w:rsid w:val="000241D5"/>
    <w:pPr>
      <w:widowControl/>
      <w:autoSpaceDE/>
      <w:autoSpaceDN/>
      <w:spacing w:after="150"/>
      <w:ind w:left="-75" w:firstLine="480"/>
    </w:pPr>
    <w:rPr>
      <w:rFonts w:ascii="Verdana" w:eastAsia="Times New Roman" w:hAnsi="Verdana" w:cs="Arial"/>
      <w:sz w:val="20"/>
      <w:szCs w:val="20"/>
      <w:lang w:val="sr-Latn-RS" w:eastAsia="sr-Latn-RS"/>
    </w:rPr>
  </w:style>
  <w:style w:type="paragraph" w:customStyle="1" w:styleId="panel-group">
    <w:name w:val="panel-group"/>
    <w:basedOn w:val="Normal"/>
    <w:rsid w:val="000241D5"/>
    <w:pPr>
      <w:widowControl/>
      <w:autoSpaceDE/>
      <w:autoSpaceDN/>
      <w:spacing w:after="300"/>
      <w:ind w:firstLine="480"/>
    </w:pPr>
    <w:rPr>
      <w:rFonts w:ascii="Verdana" w:eastAsia="Times New Roman" w:hAnsi="Verdana" w:cs="Arial"/>
      <w:sz w:val="20"/>
      <w:szCs w:val="20"/>
      <w:lang w:val="sr-Latn-RS" w:eastAsia="sr-Latn-RS"/>
    </w:rPr>
  </w:style>
  <w:style w:type="paragraph" w:customStyle="1" w:styleId="panel">
    <w:name w:val="panel"/>
    <w:basedOn w:val="Normal"/>
    <w:rsid w:val="000241D5"/>
    <w:pPr>
      <w:widowControl/>
      <w:shd w:val="clear" w:color="auto" w:fill="FFFFFF"/>
      <w:autoSpaceDE/>
      <w:autoSpaceDN/>
      <w:spacing w:after="300"/>
      <w:ind w:firstLine="480"/>
    </w:pPr>
    <w:rPr>
      <w:rFonts w:ascii="Verdana" w:eastAsia="Times New Roman" w:hAnsi="Verdana" w:cs="Arial"/>
      <w:sz w:val="20"/>
      <w:szCs w:val="20"/>
      <w:lang w:val="sr-Latn-RS" w:eastAsia="sr-Latn-RS"/>
    </w:rPr>
  </w:style>
  <w:style w:type="paragraph" w:customStyle="1" w:styleId="panel-default">
    <w:name w:val="panel-default"/>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le-panel-green1">
    <w:name w:val="table-panel-green1"/>
    <w:basedOn w:val="Normal"/>
    <w:rsid w:val="000241D5"/>
    <w:pPr>
      <w:widowControl/>
      <w:pBdr>
        <w:top w:val="single" w:sz="6" w:space="0" w:color="DDDDDD"/>
        <w:left w:val="single" w:sz="6" w:space="0" w:color="DDDDDD"/>
        <w:bottom w:val="single" w:sz="6" w:space="0" w:color="DDDDDD"/>
        <w:right w:val="single" w:sz="6" w:space="0" w:color="DDDDDD"/>
      </w:pBdr>
      <w:autoSpaceDE/>
      <w:autoSpaceDN/>
      <w:spacing w:before="75" w:after="150"/>
      <w:ind w:firstLine="480"/>
    </w:pPr>
    <w:rPr>
      <w:rFonts w:ascii="Verdana" w:eastAsia="Times New Roman" w:hAnsi="Verdana" w:cs="Arial"/>
      <w:sz w:val="20"/>
      <w:szCs w:val="20"/>
      <w:lang w:val="sr-Latn-RS" w:eastAsia="sr-Latn-RS"/>
    </w:rPr>
  </w:style>
  <w:style w:type="paragraph" w:customStyle="1" w:styleId="panel-title">
    <w:name w:val="panel-title"/>
    <w:basedOn w:val="Normal"/>
    <w:rsid w:val="000241D5"/>
    <w:pPr>
      <w:widowControl/>
      <w:autoSpaceDE/>
      <w:autoSpaceDN/>
      <w:ind w:firstLine="480"/>
    </w:pPr>
    <w:rPr>
      <w:rFonts w:ascii="Verdana" w:eastAsia="Times New Roman" w:hAnsi="Verdana" w:cs="Arial"/>
      <w:sz w:val="24"/>
      <w:szCs w:val="24"/>
      <w:lang w:val="sr-Latn-RS" w:eastAsia="sr-Latn-RS"/>
    </w:rPr>
  </w:style>
  <w:style w:type="paragraph" w:customStyle="1" w:styleId="panel-title-green">
    <w:name w:val="panel-title-green"/>
    <w:basedOn w:val="Normal"/>
    <w:rsid w:val="000241D5"/>
    <w:pPr>
      <w:widowControl/>
      <w:autoSpaceDE/>
      <w:autoSpaceDN/>
      <w:spacing w:after="150"/>
      <w:ind w:firstLine="480"/>
    </w:pPr>
    <w:rPr>
      <w:rFonts w:ascii="Verdana" w:eastAsia="Times New Roman" w:hAnsi="Verdana" w:cs="Arial"/>
      <w:sz w:val="21"/>
      <w:szCs w:val="21"/>
      <w:lang w:val="sr-Latn-RS" w:eastAsia="sr-Latn-RS"/>
    </w:rPr>
  </w:style>
  <w:style w:type="paragraph" w:customStyle="1" w:styleId="panel-heading">
    <w:name w:val="panel-heading"/>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panel-heading-green">
    <w:name w:val="panel-heading-green"/>
    <w:basedOn w:val="Normal"/>
    <w:rsid w:val="000241D5"/>
    <w:pPr>
      <w:widowControl/>
      <w:shd w:val="clear" w:color="auto" w:fill="0E9606"/>
      <w:autoSpaceDE/>
      <w:autoSpaceDN/>
      <w:spacing w:after="150"/>
      <w:ind w:firstLine="480"/>
    </w:pPr>
    <w:rPr>
      <w:rFonts w:ascii="Verdana" w:eastAsia="Times New Roman" w:hAnsi="Verdana" w:cs="Arial"/>
      <w:color w:val="FFFFFF"/>
      <w:sz w:val="20"/>
      <w:szCs w:val="20"/>
      <w:lang w:val="sr-Latn-RS" w:eastAsia="sr-Latn-RS"/>
    </w:rPr>
  </w:style>
  <w:style w:type="paragraph" w:customStyle="1" w:styleId="row">
    <w:name w:val="row"/>
    <w:basedOn w:val="Normal"/>
    <w:rsid w:val="000241D5"/>
    <w:pPr>
      <w:widowControl/>
      <w:autoSpaceDE/>
      <w:autoSpaceDN/>
      <w:spacing w:after="150"/>
      <w:ind w:left="-225" w:right="-225" w:firstLine="480"/>
    </w:pPr>
    <w:rPr>
      <w:rFonts w:ascii="Verdana" w:eastAsia="Times New Roman" w:hAnsi="Verdana" w:cs="Arial"/>
      <w:sz w:val="20"/>
      <w:szCs w:val="20"/>
      <w:lang w:val="sr-Latn-RS" w:eastAsia="sr-Latn-RS"/>
    </w:rPr>
  </w:style>
  <w:style w:type="paragraph" w:customStyle="1" w:styleId="view-act-primary">
    <w:name w:val="view-act-primary"/>
    <w:basedOn w:val="Normal"/>
    <w:rsid w:val="000241D5"/>
    <w:pPr>
      <w:widowControl/>
      <w:pBdr>
        <w:top w:val="single" w:sz="12" w:space="4" w:color="CCCCCC"/>
      </w:pBdr>
      <w:autoSpaceDE/>
      <w:autoSpaceDN/>
      <w:spacing w:after="150"/>
      <w:ind w:firstLine="480"/>
    </w:pPr>
    <w:rPr>
      <w:rFonts w:ascii="Verdana" w:eastAsia="Times New Roman" w:hAnsi="Verdana" w:cs="Arial"/>
      <w:sz w:val="20"/>
      <w:szCs w:val="20"/>
      <w:lang w:val="sr-Latn-RS" w:eastAsia="sr-Latn-RS"/>
    </w:rPr>
  </w:style>
  <w:style w:type="paragraph" w:customStyle="1" w:styleId="list-group-item">
    <w:name w:val="list-group-item"/>
    <w:basedOn w:val="Normal"/>
    <w:rsid w:val="000241D5"/>
    <w:pPr>
      <w:widowControl/>
      <w:pBdr>
        <w:top w:val="single" w:sz="6" w:space="8" w:color="DDDDDD"/>
        <w:left w:val="single" w:sz="6" w:space="11" w:color="DDDDDD"/>
        <w:bottom w:val="single" w:sz="6" w:space="8" w:color="DDDDDD"/>
        <w:right w:val="single" w:sz="6" w:space="11" w:color="DDDDDD"/>
      </w:pBdr>
      <w:shd w:val="clear" w:color="auto" w:fill="FFFFFF"/>
      <w:autoSpaceDE/>
      <w:autoSpaceDN/>
      <w:ind w:firstLine="480"/>
    </w:pPr>
    <w:rPr>
      <w:rFonts w:ascii="Verdana" w:eastAsia="Times New Roman" w:hAnsi="Verdana" w:cs="Arial"/>
      <w:sz w:val="20"/>
      <w:szCs w:val="20"/>
      <w:lang w:val="sr-Latn-RS" w:eastAsia="sr-Latn-RS"/>
    </w:rPr>
  </w:style>
  <w:style w:type="paragraph" w:customStyle="1" w:styleId="collapse">
    <w:name w:val="collapse"/>
    <w:basedOn w:val="Normal"/>
    <w:rsid w:val="000241D5"/>
    <w:pPr>
      <w:widowControl/>
      <w:autoSpaceDE/>
      <w:autoSpaceDN/>
      <w:spacing w:after="150"/>
      <w:ind w:firstLine="480"/>
    </w:pPr>
    <w:rPr>
      <w:rFonts w:ascii="Verdana" w:eastAsia="Times New Roman" w:hAnsi="Verdana" w:cs="Arial"/>
      <w:vanish/>
      <w:sz w:val="20"/>
      <w:szCs w:val="20"/>
      <w:lang w:val="sr-Latn-RS" w:eastAsia="sr-Latn-RS"/>
    </w:rPr>
  </w:style>
  <w:style w:type="paragraph" w:customStyle="1" w:styleId="naslovmml0">
    <w:name w:val="naslovmml"/>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siroka-tabela">
    <w:name w:val="siroka-tabela"/>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links">
    <w:name w:val="links"/>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unitalic-change">
    <w:name w:val="unitalic-chang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act-menu-item">
    <w:name w:val="act-menu-item"/>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eglinks">
    <w:name w:val="reglinks"/>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1mi">
    <w:name w:val="tab01mi"/>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2pi">
    <w:name w:val="tab02pi"/>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3mo">
    <w:name w:val="tab03mo"/>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4li">
    <w:name w:val="tab04li"/>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5su">
    <w:name w:val="tab05su"/>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10">
    <w:name w:val="v2-clan-left-110"/>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21">
    <w:name w:val="v2-clan-left-2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31">
    <w:name w:val="v2-clan-left-3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41">
    <w:name w:val="v2-clan-left-4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51">
    <w:name w:val="v2-clan-left-5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61">
    <w:name w:val="v2-clan-left-6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71">
    <w:name w:val="v2-clan-left-7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81">
    <w:name w:val="v2-clan-left-8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91">
    <w:name w:val="v2-clan-left-9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01">
    <w:name w:val="v2-clan-left-10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underline-left1">
    <w:name w:val="v2-underline-left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spacija-left-110">
    <w:name w:val="v2-spacija-left-110"/>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21">
    <w:name w:val="v2-spacija-left-2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31">
    <w:name w:val="v2-spacija-left-3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italik-left-110">
    <w:name w:val="v2-italik-left-110"/>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21">
    <w:name w:val="v2-italik-left-2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31">
    <w:name w:val="v2-italik-left-3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bold-left-110">
    <w:name w:val="v2-bold-left-110"/>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21">
    <w:name w:val="v2-bold-left-2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31">
    <w:name w:val="v2-bold-left-3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110">
    <w:name w:val="v2-clan-110"/>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21">
    <w:name w:val="v2-clan-2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31">
    <w:name w:val="v2-clan-3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underline1">
    <w:name w:val="v2-underline1"/>
    <w:basedOn w:val="Normal"/>
    <w:rsid w:val="000241D5"/>
    <w:pPr>
      <w:widowControl/>
      <w:autoSpaceDE/>
      <w:autoSpaceDN/>
      <w:spacing w:after="150"/>
      <w:ind w:firstLine="480"/>
      <w:jc w:val="center"/>
    </w:pPr>
    <w:rPr>
      <w:rFonts w:ascii="Verdana" w:eastAsia="Times New Roman" w:hAnsi="Verdana" w:cs="Arial"/>
      <w:sz w:val="20"/>
      <w:szCs w:val="20"/>
      <w:lang w:val="sr-Latn-RS" w:eastAsia="sr-Latn-RS"/>
    </w:rPr>
  </w:style>
  <w:style w:type="paragraph" w:customStyle="1" w:styleId="v2-spacija-110">
    <w:name w:val="v2-spacija-110"/>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21">
    <w:name w:val="v2-spacija-2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31">
    <w:name w:val="v2-spacija-3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italik-110">
    <w:name w:val="v2-italik-110"/>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21">
    <w:name w:val="v2-italik-2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31">
    <w:name w:val="v2-italik-3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bold-110">
    <w:name w:val="v2-bold-110"/>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21">
    <w:name w:val="v2-bold-2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31">
    <w:name w:val="v2-bold-3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clan-verzal-110">
    <w:name w:val="v2-clan-verzal-110"/>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21">
    <w:name w:val="v2-clan-verzal-2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italik-verzal-110">
    <w:name w:val="v2-italik-verzal-110"/>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21">
    <w:name w:val="v2-italik-verzal-2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31">
    <w:name w:val="v2-italik-verzal-3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bold-verzal-110">
    <w:name w:val="v2-bold-verzal-110"/>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21">
    <w:name w:val="v2-bold-verzal-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31">
    <w:name w:val="v2-bold-verzal-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10">
    <w:name w:val="v2-naslov-110"/>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21">
    <w:name w:val="v2-naslov-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31">
    <w:name w:val="v2-naslov-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odluka-zakon-110">
    <w:name w:val="v2-odluka-zakon-110"/>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21">
    <w:name w:val="v2-odluka-zakon-2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31">
    <w:name w:val="v2-odluka-zakon-3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f1">
    <w:name w:val="f1"/>
    <w:basedOn w:val="Normal"/>
    <w:rsid w:val="000241D5"/>
    <w:pPr>
      <w:widowControl/>
      <w:autoSpaceDE/>
      <w:autoSpaceDN/>
      <w:spacing w:after="150"/>
    </w:pPr>
    <w:rPr>
      <w:rFonts w:ascii="Verdana" w:eastAsia="Times New Roman" w:hAnsi="Verdana" w:cs="Arial"/>
      <w:i/>
      <w:iCs/>
      <w:sz w:val="20"/>
      <w:szCs w:val="20"/>
      <w:lang w:val="sr-Latn-RS" w:eastAsia="sr-Latn-RS"/>
    </w:rPr>
  </w:style>
  <w:style w:type="paragraph" w:customStyle="1" w:styleId="links1">
    <w:name w:val="links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eglinks1">
    <w:name w:val="reglinks1"/>
    <w:basedOn w:val="Normal"/>
    <w:rsid w:val="000241D5"/>
    <w:pPr>
      <w:widowControl/>
      <w:pBdr>
        <w:top w:val="single" w:sz="6" w:space="0" w:color="E3E3E3"/>
        <w:bottom w:val="single" w:sz="6" w:space="0" w:color="E5E5E5"/>
      </w:pBdr>
      <w:shd w:val="clear" w:color="auto" w:fill="E9E9E9"/>
      <w:autoSpaceDE/>
      <w:autoSpaceDN/>
      <w:spacing w:after="150" w:line="180" w:lineRule="atLeast"/>
      <w:ind w:firstLine="480"/>
      <w:jc w:val="center"/>
    </w:pPr>
    <w:rPr>
      <w:rFonts w:ascii="Verdana" w:eastAsia="Times New Roman" w:hAnsi="Verdana" w:cs="Arial"/>
      <w:color w:val="028002"/>
      <w:sz w:val="20"/>
      <w:szCs w:val="20"/>
      <w:lang w:val="sr-Latn-RS" w:eastAsia="sr-Latn-RS"/>
    </w:rPr>
  </w:style>
  <w:style w:type="paragraph" w:customStyle="1" w:styleId="tab01mi1">
    <w:name w:val="tab01mi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2pi1">
    <w:name w:val="tab02pi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3mo1">
    <w:name w:val="tab03mo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4li1">
    <w:name w:val="tab04li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5su1">
    <w:name w:val="tab05su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odluka-zakon-41">
    <w:name w:val="v2-odluka-zakon-4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51">
    <w:name w:val="v2-odluka-zakon-5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61">
    <w:name w:val="v2-odluka-zakon-6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71">
    <w:name w:val="v2-odluka-zakon-7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81">
    <w:name w:val="v2-odluka-zakon-8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91">
    <w:name w:val="v2-odluka-zakon-9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01">
    <w:name w:val="v2-odluka-zakon-10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11">
    <w:name w:val="v2-odluka-zakon-11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21">
    <w:name w:val="v2-odluka-zakon-12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31">
    <w:name w:val="v2-odluka-zakon-13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41">
    <w:name w:val="v2-odluka-zakon-14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51">
    <w:name w:val="v2-odluka-zakon-15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61">
    <w:name w:val="v2-odluka-zakon-16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71">
    <w:name w:val="v2-odluka-zakon-17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81">
    <w:name w:val="v2-odluka-zakon-18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91">
    <w:name w:val="v2-odluka-zakon-19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201">
    <w:name w:val="v2-odluka-zakon-20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naslov-41">
    <w:name w:val="v2-naslov-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51">
    <w:name w:val="v2-naslov-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61">
    <w:name w:val="v2-naslov-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71">
    <w:name w:val="v2-naslov-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81">
    <w:name w:val="v2-naslov-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91">
    <w:name w:val="v2-naslov-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01">
    <w:name w:val="v2-naslov-1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11">
    <w:name w:val="v2-naslov-11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21">
    <w:name w:val="v2-naslov-1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31">
    <w:name w:val="v2-naslov-1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41">
    <w:name w:val="v2-naslov-1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51">
    <w:name w:val="v2-naslov-1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61">
    <w:name w:val="v2-naslov-1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71">
    <w:name w:val="v2-naslov-1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81">
    <w:name w:val="v2-naslov-1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91">
    <w:name w:val="v2-naslov-1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201">
    <w:name w:val="v2-naslov-2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41">
    <w:name w:val="v2-bold-verzal-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51">
    <w:name w:val="v2-bold-verzal-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61">
    <w:name w:val="v2-bold-verzal-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71">
    <w:name w:val="v2-bold-verzal-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81">
    <w:name w:val="v2-bold-verzal-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91">
    <w:name w:val="v2-bold-verzal-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01">
    <w:name w:val="v2-bold-verzal-1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11">
    <w:name w:val="v2-bold-verzal-11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21">
    <w:name w:val="v2-bold-verzal-1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31">
    <w:name w:val="v2-bold-verzal-1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41">
    <w:name w:val="v2-bold-verzal-1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51">
    <w:name w:val="v2-bold-verzal-1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61">
    <w:name w:val="v2-bold-verzal-1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71">
    <w:name w:val="v2-bold-verzal-1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81">
    <w:name w:val="v2-bold-verzal-1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91">
    <w:name w:val="v2-bold-verzal-1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201">
    <w:name w:val="v2-bold-verzal-2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italik-verzal-41">
    <w:name w:val="v2-italik-verzal-4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51">
    <w:name w:val="v2-italik-verzal-5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61">
    <w:name w:val="v2-italik-verzal-6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71">
    <w:name w:val="v2-italik-verzal-7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81">
    <w:name w:val="v2-italik-verzal-8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91">
    <w:name w:val="v2-italik-verzal-9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01">
    <w:name w:val="v2-italik-verzal-10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11">
    <w:name w:val="v2-italik-verzal-11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21">
    <w:name w:val="v2-italik-verzal-12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31">
    <w:name w:val="v2-italik-verzal-13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41">
    <w:name w:val="v2-italik-verzal-14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51">
    <w:name w:val="v2-italik-verzal-15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61">
    <w:name w:val="v2-italik-verzal-16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71">
    <w:name w:val="v2-italik-verzal-17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81">
    <w:name w:val="v2-italik-verzal-18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91">
    <w:name w:val="v2-italik-verzal-19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201">
    <w:name w:val="v2-italik-verzal-20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clan-verzal-31">
    <w:name w:val="v2-clan-verzal-3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41">
    <w:name w:val="v2-clan-verzal-4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51">
    <w:name w:val="v2-clan-verzal-5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61">
    <w:name w:val="v2-clan-verzal-6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71">
    <w:name w:val="v2-clan-verzal-7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81">
    <w:name w:val="v2-clan-verzal-8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91">
    <w:name w:val="v2-clan-verzal-9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01">
    <w:name w:val="v2-clan-verzal-10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11">
    <w:name w:val="v2-clan-verzal-11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21">
    <w:name w:val="v2-clan-verzal-12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31">
    <w:name w:val="v2-clan-verzal-13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41">
    <w:name w:val="v2-clan-verzal-14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51">
    <w:name w:val="v2-clan-verzal-15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61">
    <w:name w:val="v2-clan-verzal-16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71">
    <w:name w:val="v2-clan-verzal-17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81">
    <w:name w:val="v2-clan-verzal-18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91">
    <w:name w:val="v2-clan-verzal-19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201">
    <w:name w:val="v2-clan-verzal-20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bold-41">
    <w:name w:val="v2-bold-4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51">
    <w:name w:val="v2-bold-5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61">
    <w:name w:val="v2-bold-6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71">
    <w:name w:val="v2-bold-7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81">
    <w:name w:val="v2-bold-8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91">
    <w:name w:val="v2-bold-9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01">
    <w:name w:val="v2-bold-10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11">
    <w:name w:val="v2-bold-11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21">
    <w:name w:val="v2-bold-12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31">
    <w:name w:val="v2-bold-13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41">
    <w:name w:val="v2-bold-14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51">
    <w:name w:val="v2-bold-15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61">
    <w:name w:val="v2-bold-16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71">
    <w:name w:val="v2-bold-17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81">
    <w:name w:val="v2-bold-18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91">
    <w:name w:val="v2-bold-19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201">
    <w:name w:val="v2-bold-20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italik-41">
    <w:name w:val="v2-italik-4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51">
    <w:name w:val="v2-italik-5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61">
    <w:name w:val="v2-italik-6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71">
    <w:name w:val="v2-italik-7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81">
    <w:name w:val="v2-italik-8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91">
    <w:name w:val="v2-italik-9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01">
    <w:name w:val="v2-italik-10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11">
    <w:name w:val="v2-italik-11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21">
    <w:name w:val="v2-italik-12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31">
    <w:name w:val="v2-italik-13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41">
    <w:name w:val="v2-italik-14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51">
    <w:name w:val="v2-italik-15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61">
    <w:name w:val="v2-italik-16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71">
    <w:name w:val="v2-italik-17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81">
    <w:name w:val="v2-italik-18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91">
    <w:name w:val="v2-italik-19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201">
    <w:name w:val="v2-italik-20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spacija-41">
    <w:name w:val="v2-spacija-4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51">
    <w:name w:val="v2-spacija-5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61">
    <w:name w:val="v2-spacija-6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71">
    <w:name w:val="v2-spacija-7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81">
    <w:name w:val="v2-spacija-8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91">
    <w:name w:val="v2-spacija-9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01">
    <w:name w:val="v2-spacija-10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11">
    <w:name w:val="v2-spacija-11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21">
    <w:name w:val="v2-spacija-12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31">
    <w:name w:val="v2-spacija-13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41">
    <w:name w:val="v2-spacija-14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51">
    <w:name w:val="v2-spacija-15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61">
    <w:name w:val="v2-spacija-16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71">
    <w:name w:val="v2-spacija-17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81">
    <w:name w:val="v2-spacija-18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91">
    <w:name w:val="v2-spacija-19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201">
    <w:name w:val="v2-spacija-20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clan-41">
    <w:name w:val="v2-clan-4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51">
    <w:name w:val="v2-clan-5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61">
    <w:name w:val="v2-clan-6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71">
    <w:name w:val="v2-clan-7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81">
    <w:name w:val="v2-clan-8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91">
    <w:name w:val="v2-clan-9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01">
    <w:name w:val="v2-clan-10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11">
    <w:name w:val="v2-clan-11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21">
    <w:name w:val="v2-clan-12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31">
    <w:name w:val="v2-clan-13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41">
    <w:name w:val="v2-clan-14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51">
    <w:name w:val="v2-clan-15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61">
    <w:name w:val="v2-clan-16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71">
    <w:name w:val="v2-clan-17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81">
    <w:name w:val="v2-clan-18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91">
    <w:name w:val="v2-clan-19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201">
    <w:name w:val="v2-clan-20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bold-left-41">
    <w:name w:val="v2-bold-left-4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51">
    <w:name w:val="v2-bold-left-5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61">
    <w:name w:val="v2-bold-left-6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71">
    <w:name w:val="v2-bold-left-7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81">
    <w:name w:val="v2-bold-left-8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91">
    <w:name w:val="v2-bold-left-9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01">
    <w:name w:val="v2-bold-left-10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11">
    <w:name w:val="v2-bold-left-11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21">
    <w:name w:val="v2-bold-left-12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31">
    <w:name w:val="v2-bold-left-13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41">
    <w:name w:val="v2-bold-left-14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51">
    <w:name w:val="v2-bold-left-15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61">
    <w:name w:val="v2-bold-left-16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71">
    <w:name w:val="v2-bold-left-17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81">
    <w:name w:val="v2-bold-left-18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91">
    <w:name w:val="v2-bold-left-19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201">
    <w:name w:val="v2-bold-left-20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italik-left-41">
    <w:name w:val="v2-italik-left-4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51">
    <w:name w:val="v2-italik-left-5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61">
    <w:name w:val="v2-italik-left-6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71">
    <w:name w:val="v2-italik-left-7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81">
    <w:name w:val="v2-italik-left-8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91">
    <w:name w:val="v2-italik-left-9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01">
    <w:name w:val="v2-italik-left-10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11">
    <w:name w:val="v2-italik-left-11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21">
    <w:name w:val="v2-italik-left-12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31">
    <w:name w:val="v2-italik-left-13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41">
    <w:name w:val="v2-italik-left-14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51">
    <w:name w:val="v2-italik-left-15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61">
    <w:name w:val="v2-italik-left-16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71">
    <w:name w:val="v2-italik-left-17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81">
    <w:name w:val="v2-italik-left-18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91">
    <w:name w:val="v2-italik-left-19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201">
    <w:name w:val="v2-italik-left-20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spacija-left-41">
    <w:name w:val="v2-spacija-left-4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51">
    <w:name w:val="v2-spacija-left-5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61">
    <w:name w:val="v2-spacija-left-6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71">
    <w:name w:val="v2-spacija-left-7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81">
    <w:name w:val="v2-spacija-left-8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91">
    <w:name w:val="v2-spacija-left-9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01">
    <w:name w:val="v2-spacija-left-10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11">
    <w:name w:val="v2-spacija-left-11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21">
    <w:name w:val="v2-spacija-left-12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31">
    <w:name w:val="v2-spacija-left-13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41">
    <w:name w:val="v2-spacija-left-14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51">
    <w:name w:val="v2-spacija-left-15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61">
    <w:name w:val="v2-spacija-left-16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71">
    <w:name w:val="v2-spacija-left-17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81">
    <w:name w:val="v2-spacija-left-18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91">
    <w:name w:val="v2-spacija-left-19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201">
    <w:name w:val="v2-spacija-left-20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clan-left-111">
    <w:name w:val="v2-clan-left-11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21">
    <w:name w:val="v2-clan-left-12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31">
    <w:name w:val="v2-clan-left-13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41">
    <w:name w:val="v2-clan-left-14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51">
    <w:name w:val="v2-clan-left-15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61">
    <w:name w:val="v2-clan-left-16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71">
    <w:name w:val="v2-clan-left-17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81">
    <w:name w:val="v2-clan-left-18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91">
    <w:name w:val="v2-clan-left-19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201">
    <w:name w:val="v2-clan-left-20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unitalic-change1">
    <w:name w:val="unitalic-change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odluka-zakon1">
    <w:name w:val="odluka-zakon1"/>
    <w:basedOn w:val="Normal"/>
    <w:rsid w:val="000241D5"/>
    <w:pPr>
      <w:widowControl/>
      <w:autoSpaceDE/>
      <w:autoSpaceDN/>
      <w:spacing w:before="360" w:after="150"/>
      <w:ind w:firstLine="480"/>
      <w:jc w:val="center"/>
    </w:pPr>
    <w:rPr>
      <w:rFonts w:ascii="Verdana" w:eastAsia="Times New Roman" w:hAnsi="Verdana" w:cs="Arial"/>
      <w:b/>
      <w:bCs/>
      <w:sz w:val="20"/>
      <w:szCs w:val="20"/>
      <w:u w:val="single"/>
      <w:lang w:val="sr-Latn-RS" w:eastAsia="sr-Latn-RS"/>
    </w:rPr>
  </w:style>
  <w:style w:type="paragraph" w:customStyle="1" w:styleId="act-menu-item1">
    <w:name w:val="act-menu-item1"/>
    <w:basedOn w:val="Normal"/>
    <w:rsid w:val="000241D5"/>
    <w:pPr>
      <w:widowControl/>
      <w:autoSpaceDE/>
      <w:autoSpaceDN/>
      <w:spacing w:before="30" w:after="30"/>
      <w:ind w:left="30" w:right="30" w:firstLine="480"/>
    </w:pPr>
    <w:rPr>
      <w:rFonts w:ascii="Verdana" w:eastAsia="Times New Roman" w:hAnsi="Verdana" w:cs="Arial"/>
      <w:color w:val="0000FF"/>
      <w:sz w:val="20"/>
      <w:szCs w:val="20"/>
      <w:lang w:val="sr-Latn-RS" w:eastAsia="sr-Latn-RS"/>
    </w:rPr>
  </w:style>
  <w:style w:type="paragraph" w:customStyle="1" w:styleId="odluka-zakon2">
    <w:name w:val="odluka-zakon2"/>
    <w:basedOn w:val="Normal"/>
    <w:rsid w:val="000241D5"/>
    <w:pPr>
      <w:widowControl/>
      <w:autoSpaceDE/>
      <w:autoSpaceDN/>
      <w:spacing w:before="30" w:after="30"/>
      <w:ind w:left="30" w:right="30" w:firstLine="480"/>
      <w:jc w:val="center"/>
    </w:pPr>
    <w:rPr>
      <w:rFonts w:ascii="Verdana" w:eastAsia="Times New Roman" w:hAnsi="Verdana" w:cs="Arial"/>
      <w:b/>
      <w:bCs/>
      <w:color w:val="0000FF"/>
      <w:sz w:val="20"/>
      <w:szCs w:val="20"/>
      <w:lang w:val="sr-Latn-RS" w:eastAsia="sr-Latn-RS"/>
    </w:rPr>
  </w:style>
  <w:style w:type="paragraph" w:customStyle="1" w:styleId="naslov1">
    <w:name w:val="naslov1"/>
    <w:basedOn w:val="Normal"/>
    <w:rsid w:val="000241D5"/>
    <w:pPr>
      <w:widowControl/>
      <w:autoSpaceDE/>
      <w:autoSpaceDN/>
      <w:spacing w:before="30" w:after="30"/>
      <w:ind w:left="30" w:right="30" w:firstLine="480"/>
      <w:jc w:val="center"/>
    </w:pPr>
    <w:rPr>
      <w:rFonts w:ascii="Verdana" w:eastAsia="Times New Roman" w:hAnsi="Verdana" w:cs="Arial"/>
      <w:b/>
      <w:bCs/>
      <w:color w:val="0000FF"/>
      <w:sz w:val="20"/>
      <w:szCs w:val="20"/>
      <w:lang w:val="sr-Latn-RS" w:eastAsia="sr-Latn-RS"/>
    </w:rPr>
  </w:style>
  <w:style w:type="paragraph" w:customStyle="1" w:styleId="clan1">
    <w:name w:val="clan1"/>
    <w:basedOn w:val="Normal"/>
    <w:rsid w:val="000241D5"/>
    <w:pPr>
      <w:widowControl/>
      <w:autoSpaceDE/>
      <w:autoSpaceDN/>
      <w:spacing w:before="30" w:after="30"/>
      <w:ind w:left="30" w:right="30" w:firstLine="480"/>
    </w:pPr>
    <w:rPr>
      <w:rFonts w:ascii="Verdana" w:eastAsia="Times New Roman" w:hAnsi="Verdana" w:cs="Arial"/>
      <w:color w:val="0000FF"/>
      <w:sz w:val="20"/>
      <w:szCs w:val="20"/>
      <w:lang w:val="sr-Latn-RS" w:eastAsia="sr-Latn-RS"/>
    </w:rPr>
  </w:style>
  <w:style w:type="paragraph" w:customStyle="1" w:styleId="italik1">
    <w:name w:val="italik1"/>
    <w:basedOn w:val="Normal"/>
    <w:rsid w:val="000241D5"/>
    <w:pPr>
      <w:widowControl/>
      <w:autoSpaceDE/>
      <w:autoSpaceDN/>
      <w:spacing w:before="30" w:after="30"/>
      <w:ind w:left="30" w:right="30" w:firstLine="480"/>
    </w:pPr>
    <w:rPr>
      <w:rFonts w:ascii="Verdana" w:eastAsia="Times New Roman" w:hAnsi="Verdana" w:cs="Arial"/>
      <w:i/>
      <w:iCs/>
      <w:color w:val="0000FF"/>
      <w:sz w:val="20"/>
      <w:szCs w:val="20"/>
      <w:lang w:val="sr-Latn-RS" w:eastAsia="sr-Latn-RS"/>
    </w:rPr>
  </w:style>
  <w:style w:type="paragraph" w:customStyle="1" w:styleId="v2-underline2">
    <w:name w:val="v2-underline2"/>
    <w:basedOn w:val="Normal"/>
    <w:rsid w:val="000241D5"/>
    <w:pPr>
      <w:widowControl/>
      <w:autoSpaceDE/>
      <w:autoSpaceDN/>
      <w:spacing w:before="30" w:after="30"/>
      <w:ind w:left="30" w:right="30" w:firstLine="480"/>
    </w:pPr>
    <w:rPr>
      <w:rFonts w:ascii="Verdana" w:eastAsia="Times New Roman" w:hAnsi="Verdana" w:cs="Arial"/>
      <w:b/>
      <w:bCs/>
      <w:color w:val="0000FF"/>
      <w:sz w:val="20"/>
      <w:szCs w:val="20"/>
      <w:lang w:val="sr-Latn-RS" w:eastAsia="sr-Latn-RS"/>
    </w:rPr>
  </w:style>
  <w:style w:type="paragraph" w:customStyle="1" w:styleId="bold1">
    <w:name w:val="bold1"/>
    <w:basedOn w:val="Normal"/>
    <w:rsid w:val="000241D5"/>
    <w:pPr>
      <w:widowControl/>
      <w:autoSpaceDE/>
      <w:autoSpaceDN/>
      <w:spacing w:before="30" w:after="30"/>
      <w:ind w:left="30" w:right="30" w:firstLine="480"/>
    </w:pPr>
    <w:rPr>
      <w:rFonts w:ascii="Verdana" w:eastAsia="Times New Roman" w:hAnsi="Verdana" w:cs="Arial"/>
      <w:b/>
      <w:bCs/>
      <w:color w:val="0000FF"/>
      <w:sz w:val="20"/>
      <w:szCs w:val="20"/>
      <w:lang w:val="sr-Latn-RS" w:eastAsia="sr-Latn-RS"/>
    </w:rPr>
  </w:style>
  <w:style w:type="paragraph" w:customStyle="1" w:styleId="panel1">
    <w:name w:val="panel1"/>
    <w:basedOn w:val="Normal"/>
    <w:rsid w:val="000241D5"/>
    <w:pPr>
      <w:widowControl/>
      <w:shd w:val="clear" w:color="auto" w:fill="FFFFFF"/>
      <w:autoSpaceDE/>
      <w:autoSpaceDN/>
      <w:ind w:firstLine="480"/>
    </w:pPr>
    <w:rPr>
      <w:rFonts w:ascii="Verdana" w:eastAsia="Times New Roman" w:hAnsi="Verdana" w:cs="Arial"/>
      <w:sz w:val="20"/>
      <w:szCs w:val="20"/>
      <w:lang w:val="sr-Latn-RS" w:eastAsia="sr-Latn-RS"/>
    </w:rPr>
  </w:style>
  <w:style w:type="paragraph" w:customStyle="1" w:styleId="panel-heading1">
    <w:name w:val="panel-heading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character" w:customStyle="1" w:styleId="superscript1">
    <w:name w:val="superscript1"/>
    <w:basedOn w:val="DefaultParagraphFont"/>
    <w:rsid w:val="000241D5"/>
    <w:rPr>
      <w:sz w:val="20"/>
      <w:szCs w:val="20"/>
      <w:vertAlign w:val="superscript"/>
    </w:rPr>
  </w:style>
  <w:style w:type="character" w:customStyle="1" w:styleId="subscript1">
    <w:name w:val="subscript1"/>
    <w:basedOn w:val="DefaultParagraphFont"/>
    <w:rsid w:val="000241D5"/>
    <w:rPr>
      <w:sz w:val="20"/>
      <w:szCs w:val="20"/>
      <w:vertAlign w:val="subscript"/>
    </w:rPr>
  </w:style>
  <w:style w:type="character" w:customStyle="1" w:styleId="italik2">
    <w:name w:val="italik2"/>
    <w:basedOn w:val="DefaultParagraphFont"/>
    <w:rsid w:val="000241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268153">
      <w:bodyDiv w:val="1"/>
      <w:marLeft w:val="0"/>
      <w:marRight w:val="0"/>
      <w:marTop w:val="0"/>
      <w:marBottom w:val="0"/>
      <w:divBdr>
        <w:top w:val="none" w:sz="0" w:space="0" w:color="auto"/>
        <w:left w:val="none" w:sz="0" w:space="0" w:color="auto"/>
        <w:bottom w:val="none" w:sz="0" w:space="0" w:color="auto"/>
        <w:right w:val="none" w:sz="0" w:space="0" w:color="auto"/>
      </w:divBdr>
    </w:div>
    <w:div w:id="760878111">
      <w:bodyDiv w:val="1"/>
      <w:marLeft w:val="0"/>
      <w:marRight w:val="0"/>
      <w:marTop w:val="0"/>
      <w:marBottom w:val="0"/>
      <w:divBdr>
        <w:top w:val="none" w:sz="0" w:space="0" w:color="auto"/>
        <w:left w:val="none" w:sz="0" w:space="0" w:color="auto"/>
        <w:bottom w:val="none" w:sz="0" w:space="0" w:color="auto"/>
        <w:right w:val="none" w:sz="0" w:space="0" w:color="auto"/>
      </w:divBdr>
    </w:div>
    <w:div w:id="1682661677">
      <w:bodyDiv w:val="1"/>
      <w:marLeft w:val="0"/>
      <w:marRight w:val="0"/>
      <w:marTop w:val="0"/>
      <w:marBottom w:val="0"/>
      <w:divBdr>
        <w:top w:val="none" w:sz="0" w:space="0" w:color="auto"/>
        <w:left w:val="none" w:sz="0" w:space="0" w:color="auto"/>
        <w:bottom w:val="none" w:sz="0" w:space="0" w:color="auto"/>
        <w:right w:val="none" w:sz="0" w:space="0" w:color="auto"/>
      </w:divBdr>
    </w:div>
    <w:div w:id="1748569621">
      <w:bodyDiv w:val="1"/>
      <w:marLeft w:val="0"/>
      <w:marRight w:val="0"/>
      <w:marTop w:val="0"/>
      <w:marBottom w:val="0"/>
      <w:divBdr>
        <w:top w:val="none" w:sz="0" w:space="0" w:color="auto"/>
        <w:left w:val="none" w:sz="0" w:space="0" w:color="auto"/>
        <w:bottom w:val="none" w:sz="0" w:space="0" w:color="auto"/>
        <w:right w:val="none" w:sz="0" w:space="0" w:color="auto"/>
      </w:divBdr>
      <w:divsChild>
        <w:div w:id="291374222">
          <w:marLeft w:val="0"/>
          <w:marRight w:val="0"/>
          <w:marTop w:val="0"/>
          <w:marBottom w:val="0"/>
          <w:divBdr>
            <w:top w:val="none" w:sz="0" w:space="0" w:color="auto"/>
            <w:left w:val="none" w:sz="0" w:space="0" w:color="auto"/>
            <w:bottom w:val="none" w:sz="0" w:space="0" w:color="auto"/>
            <w:right w:val="none" w:sz="0" w:space="0" w:color="auto"/>
          </w:divBdr>
          <w:divsChild>
            <w:div w:id="41177691">
              <w:marLeft w:val="0"/>
              <w:marRight w:val="0"/>
              <w:marTop w:val="0"/>
              <w:marBottom w:val="0"/>
              <w:divBdr>
                <w:top w:val="none" w:sz="0" w:space="0" w:color="auto"/>
                <w:left w:val="none" w:sz="0" w:space="0" w:color="auto"/>
                <w:bottom w:val="none" w:sz="0" w:space="0" w:color="auto"/>
                <w:right w:val="none" w:sz="0" w:space="0" w:color="auto"/>
              </w:divBdr>
            </w:div>
          </w:divsChild>
        </w:div>
        <w:div w:id="705569992">
          <w:marLeft w:val="0"/>
          <w:marRight w:val="0"/>
          <w:marTop w:val="0"/>
          <w:marBottom w:val="0"/>
          <w:divBdr>
            <w:top w:val="none" w:sz="0" w:space="0" w:color="auto"/>
            <w:left w:val="none" w:sz="0" w:space="0" w:color="auto"/>
            <w:bottom w:val="none" w:sz="0" w:space="0" w:color="auto"/>
            <w:right w:val="none" w:sz="0" w:space="0" w:color="auto"/>
          </w:divBdr>
          <w:divsChild>
            <w:div w:id="1368677837">
              <w:marLeft w:val="0"/>
              <w:marRight w:val="0"/>
              <w:marTop w:val="0"/>
              <w:marBottom w:val="0"/>
              <w:divBdr>
                <w:top w:val="none" w:sz="0" w:space="0" w:color="auto"/>
                <w:left w:val="none" w:sz="0" w:space="0" w:color="auto"/>
                <w:bottom w:val="none" w:sz="0" w:space="0" w:color="auto"/>
                <w:right w:val="none" w:sz="0" w:space="0" w:color="auto"/>
              </w:divBdr>
            </w:div>
          </w:divsChild>
        </w:div>
        <w:div w:id="366877888">
          <w:marLeft w:val="0"/>
          <w:marRight w:val="0"/>
          <w:marTop w:val="0"/>
          <w:marBottom w:val="0"/>
          <w:divBdr>
            <w:top w:val="none" w:sz="0" w:space="0" w:color="auto"/>
            <w:left w:val="none" w:sz="0" w:space="0" w:color="auto"/>
            <w:bottom w:val="none" w:sz="0" w:space="0" w:color="auto"/>
            <w:right w:val="none" w:sz="0" w:space="0" w:color="auto"/>
          </w:divBdr>
          <w:divsChild>
            <w:div w:id="1252280245">
              <w:marLeft w:val="0"/>
              <w:marRight w:val="0"/>
              <w:marTop w:val="0"/>
              <w:marBottom w:val="0"/>
              <w:divBdr>
                <w:top w:val="none" w:sz="0" w:space="0" w:color="auto"/>
                <w:left w:val="none" w:sz="0" w:space="0" w:color="auto"/>
                <w:bottom w:val="none" w:sz="0" w:space="0" w:color="auto"/>
                <w:right w:val="none" w:sz="0" w:space="0" w:color="auto"/>
              </w:divBdr>
            </w:div>
          </w:divsChild>
        </w:div>
        <w:div w:id="130830541">
          <w:marLeft w:val="0"/>
          <w:marRight w:val="0"/>
          <w:marTop w:val="0"/>
          <w:marBottom w:val="0"/>
          <w:divBdr>
            <w:top w:val="none" w:sz="0" w:space="0" w:color="auto"/>
            <w:left w:val="none" w:sz="0" w:space="0" w:color="auto"/>
            <w:bottom w:val="none" w:sz="0" w:space="0" w:color="auto"/>
            <w:right w:val="none" w:sz="0" w:space="0" w:color="auto"/>
          </w:divBdr>
          <w:divsChild>
            <w:div w:id="2077850152">
              <w:marLeft w:val="0"/>
              <w:marRight w:val="0"/>
              <w:marTop w:val="0"/>
              <w:marBottom w:val="0"/>
              <w:divBdr>
                <w:top w:val="none" w:sz="0" w:space="0" w:color="auto"/>
                <w:left w:val="none" w:sz="0" w:space="0" w:color="auto"/>
                <w:bottom w:val="none" w:sz="0" w:space="0" w:color="auto"/>
                <w:right w:val="none" w:sz="0" w:space="0" w:color="auto"/>
              </w:divBdr>
            </w:div>
          </w:divsChild>
        </w:div>
        <w:div w:id="1324892225">
          <w:marLeft w:val="0"/>
          <w:marRight w:val="0"/>
          <w:marTop w:val="0"/>
          <w:marBottom w:val="0"/>
          <w:divBdr>
            <w:top w:val="none" w:sz="0" w:space="0" w:color="auto"/>
            <w:left w:val="none" w:sz="0" w:space="0" w:color="auto"/>
            <w:bottom w:val="none" w:sz="0" w:space="0" w:color="auto"/>
            <w:right w:val="none" w:sz="0" w:space="0" w:color="auto"/>
          </w:divBdr>
          <w:divsChild>
            <w:div w:id="1438255086">
              <w:marLeft w:val="0"/>
              <w:marRight w:val="0"/>
              <w:marTop w:val="0"/>
              <w:marBottom w:val="0"/>
              <w:divBdr>
                <w:top w:val="none" w:sz="0" w:space="0" w:color="auto"/>
                <w:left w:val="none" w:sz="0" w:space="0" w:color="auto"/>
                <w:bottom w:val="none" w:sz="0" w:space="0" w:color="auto"/>
                <w:right w:val="none" w:sz="0" w:space="0" w:color="auto"/>
              </w:divBdr>
            </w:div>
          </w:divsChild>
        </w:div>
        <w:div w:id="760417600">
          <w:marLeft w:val="0"/>
          <w:marRight w:val="0"/>
          <w:marTop w:val="0"/>
          <w:marBottom w:val="0"/>
          <w:divBdr>
            <w:top w:val="none" w:sz="0" w:space="0" w:color="auto"/>
            <w:left w:val="none" w:sz="0" w:space="0" w:color="auto"/>
            <w:bottom w:val="none" w:sz="0" w:space="0" w:color="auto"/>
            <w:right w:val="none" w:sz="0" w:space="0" w:color="auto"/>
          </w:divBdr>
          <w:divsChild>
            <w:div w:id="147671490">
              <w:marLeft w:val="0"/>
              <w:marRight w:val="0"/>
              <w:marTop w:val="0"/>
              <w:marBottom w:val="0"/>
              <w:divBdr>
                <w:top w:val="none" w:sz="0" w:space="0" w:color="auto"/>
                <w:left w:val="none" w:sz="0" w:space="0" w:color="auto"/>
                <w:bottom w:val="none" w:sz="0" w:space="0" w:color="auto"/>
                <w:right w:val="none" w:sz="0" w:space="0" w:color="auto"/>
              </w:divBdr>
            </w:div>
          </w:divsChild>
        </w:div>
        <w:div w:id="1002049275">
          <w:marLeft w:val="0"/>
          <w:marRight w:val="0"/>
          <w:marTop w:val="0"/>
          <w:marBottom w:val="0"/>
          <w:divBdr>
            <w:top w:val="none" w:sz="0" w:space="0" w:color="auto"/>
            <w:left w:val="none" w:sz="0" w:space="0" w:color="auto"/>
            <w:bottom w:val="none" w:sz="0" w:space="0" w:color="auto"/>
            <w:right w:val="none" w:sz="0" w:space="0" w:color="auto"/>
          </w:divBdr>
          <w:divsChild>
            <w:div w:id="1264068709">
              <w:marLeft w:val="0"/>
              <w:marRight w:val="0"/>
              <w:marTop w:val="0"/>
              <w:marBottom w:val="0"/>
              <w:divBdr>
                <w:top w:val="none" w:sz="0" w:space="0" w:color="auto"/>
                <w:left w:val="none" w:sz="0" w:space="0" w:color="auto"/>
                <w:bottom w:val="none" w:sz="0" w:space="0" w:color="auto"/>
                <w:right w:val="none" w:sz="0" w:space="0" w:color="auto"/>
              </w:divBdr>
            </w:div>
          </w:divsChild>
        </w:div>
        <w:div w:id="793791682">
          <w:marLeft w:val="0"/>
          <w:marRight w:val="0"/>
          <w:marTop w:val="0"/>
          <w:marBottom w:val="0"/>
          <w:divBdr>
            <w:top w:val="none" w:sz="0" w:space="0" w:color="auto"/>
            <w:left w:val="none" w:sz="0" w:space="0" w:color="auto"/>
            <w:bottom w:val="none" w:sz="0" w:space="0" w:color="auto"/>
            <w:right w:val="none" w:sz="0" w:space="0" w:color="auto"/>
          </w:divBdr>
          <w:divsChild>
            <w:div w:id="835724732">
              <w:marLeft w:val="0"/>
              <w:marRight w:val="0"/>
              <w:marTop w:val="0"/>
              <w:marBottom w:val="0"/>
              <w:divBdr>
                <w:top w:val="none" w:sz="0" w:space="0" w:color="auto"/>
                <w:left w:val="none" w:sz="0" w:space="0" w:color="auto"/>
                <w:bottom w:val="none" w:sz="0" w:space="0" w:color="auto"/>
                <w:right w:val="none" w:sz="0" w:space="0" w:color="auto"/>
              </w:divBdr>
            </w:div>
          </w:divsChild>
        </w:div>
        <w:div w:id="1920366690">
          <w:marLeft w:val="0"/>
          <w:marRight w:val="0"/>
          <w:marTop w:val="0"/>
          <w:marBottom w:val="0"/>
          <w:divBdr>
            <w:top w:val="none" w:sz="0" w:space="0" w:color="auto"/>
            <w:left w:val="none" w:sz="0" w:space="0" w:color="auto"/>
            <w:bottom w:val="none" w:sz="0" w:space="0" w:color="auto"/>
            <w:right w:val="none" w:sz="0" w:space="0" w:color="auto"/>
          </w:divBdr>
          <w:divsChild>
            <w:div w:id="10413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7923">
      <w:bodyDiv w:val="1"/>
      <w:marLeft w:val="0"/>
      <w:marRight w:val="0"/>
      <w:marTop w:val="0"/>
      <w:marBottom w:val="0"/>
      <w:divBdr>
        <w:top w:val="none" w:sz="0" w:space="0" w:color="auto"/>
        <w:left w:val="none" w:sz="0" w:space="0" w:color="auto"/>
        <w:bottom w:val="none" w:sz="0" w:space="0" w:color="auto"/>
        <w:right w:val="none" w:sz="0" w:space="0" w:color="auto"/>
      </w:divBdr>
    </w:div>
    <w:div w:id="1892114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62</Pages>
  <Words>18841</Words>
  <Characters>107398</Characters>
  <Application>Microsoft Office Word</Application>
  <DocSecurity>0</DocSecurity>
  <Lines>894</Lines>
  <Paragraphs>251</Paragraphs>
  <ScaleCrop>false</ScaleCrop>
  <Company/>
  <LinksUpToDate>false</LinksUpToDate>
  <CharactersWithSpaces>125988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Zeka</cp:lastModifiedBy>
  <cp:revision>4</cp:revision>
  <dcterms:created xsi:type="dcterms:W3CDTF">2023-12-31T16:00:00Z</dcterms:created>
  <dcterms:modified xsi:type="dcterms:W3CDTF">2023-12-31T16:07:00Z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2017-02-28T00:00:00Z</vt:filetime>
  </property>
  <property fmtid="{D5CDD505-2E9C-101B-9397-08002B2CF9AE}" pid="3" name="Creator">
    <vt:lpwstr>PDF-XChange Editor 5.5.308.2</vt:lpwstr>
  </property>
  <property fmtid="{D5CDD505-2E9C-101B-9397-08002B2CF9AE}" pid="4" name="LastSaved">
    <vt:filetime>2023-12-28T00:00:00Z</vt:filetime>
  </property>
  <property fmtid="{D5CDD505-2E9C-101B-9397-08002B2CF9AE}" pid="5" name="Producer">
    <vt:lpwstr>PDF-XChange PDF Core API (5.5.308.2)</vt:lpwstr>
  </property>
</Properties>
</file>